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43883-2024 i Östersunds kommun</w:t>
      </w:r>
    </w:p>
    <w:p>
      <w:r>
        <w:t>Detta klagomål behandlar höga naturvärden i avverkningsanmälan A 43883-2024 i Östersunds kommun som inkom 2024-10-05 och omfattar 3,8 ha.</w:t>
      </w:r>
    </w:p>
    <w:p>
      <w:pPr>
        <w:pStyle w:val="Caption"/>
      </w:pPr>
      <w:r>
        <w:drawing>
          <wp:inline xmlns:a="http://schemas.openxmlformats.org/drawingml/2006/main" xmlns:pic="http://schemas.openxmlformats.org/drawingml/2006/picture">
            <wp:extent cx="4445443" cy="5724000"/>
            <wp:docPr id="1" name="Picture 1"/>
            <wp:cNvGraphicFramePr>
              <a:graphicFrameLocks noChangeAspect="1"/>
            </wp:cNvGraphicFramePr>
            <a:graphic>
              <a:graphicData uri="http://schemas.openxmlformats.org/drawingml/2006/picture">
                <pic:pic>
                  <pic:nvPicPr>
                    <pic:cNvPr id="0" name="A 43883-2024 karta.png"/>
                    <pic:cNvPicPr/>
                  </pic:nvPicPr>
                  <pic:blipFill>
                    <a:blip r:embed="rId16"/>
                    <a:stretch>
                      <a:fillRect/>
                    </a:stretch>
                  </pic:blipFill>
                  <pic:spPr>
                    <a:xfrm>
                      <a:off x="0" y="0"/>
                      <a:ext cx="4445443" cy="5724000"/>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7004856, E 476425 i SWEREF 99 TM.</w:t>
      </w:r>
    </w:p>
    <w:p>
      <w:r>
        <w:t>I och inom 17 meter från avverkningsanmälan finns fynd av 4 naturvårdsarter, varav 2 är rödlistade, 1 är fridlyst, 3 är typiska (T) och 1 är signalart (S): frösöstarr (VU), ladlav (NT, T), svart trolldruva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Ladlav (NT) </w:t>
      </w:r>
      <w:r>
        <w:t xml:space="preserve">växer på gammal torr och hård kärnved i exponerade lägen. Naturliga växtplatser är torrakor, högstubbar och döda grenar av levande tallar på myrar, vid sjöar och kuster samt i berg- och rasbranter. Miljön nyskapas i begränsad omfattning. Ladlav hotas av att gammal, torr och exponerad kärnved försvinner genom avverkningar. Igenväxning och förtätning av brandpräglade skogar är också ett hot. I jordbrukslandskapet är målning och restaurering av gamla ängslador, staket m.m. är ett stort hot mot lavens förekomst. Ladlav är typisk art för </w:t>
      </w:r>
      <w:r>
        <w:rPr>
          <w:i/>
        </w:rPr>
        <w:t>9010 Taiga</w:t>
      </w:r>
      <w:r>
        <w:t xml:space="preserve">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