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29064-2026 i Östersunds kommun</w:t>
      </w:r>
    </w:p>
    <w:p>
      <w:r>
        <w:t>Denna tillsynsbegäran behandlar höga naturvärden i avverkningsanmälan A 29064-2026 i Östersunds kommun som inkom 2026-06-26 och omfattar 4,2 ha.</w:t>
      </w:r>
    </w:p>
    <w:p>
      <w:pPr>
        <w:pStyle w:val="Caption"/>
      </w:pPr>
      <w:r>
        <w:drawing>
          <wp:inline xmlns:a="http://schemas.openxmlformats.org/drawingml/2006/main" xmlns:pic="http://schemas.openxmlformats.org/drawingml/2006/picture">
            <wp:extent cx="5168117" cy="5724000"/>
            <wp:docPr id="1" name="Picture 1"/>
            <wp:cNvGraphicFramePr>
              <a:graphicFrameLocks noChangeAspect="1"/>
            </wp:cNvGraphicFramePr>
            <a:graphic>
              <a:graphicData uri="http://schemas.openxmlformats.org/drawingml/2006/picture">
                <pic:pic>
                  <pic:nvPicPr>
                    <pic:cNvPr id="0" name="A 29064-2026 karta.png"/>
                    <pic:cNvPicPr/>
                  </pic:nvPicPr>
                  <pic:blipFill>
                    <a:blip r:embed="rId16"/>
                    <a:stretch>
                      <a:fillRect/>
                    </a:stretch>
                  </pic:blipFill>
                  <pic:spPr>
                    <a:xfrm>
                      <a:off x="0" y="0"/>
                      <a:ext cx="5168117"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7017392, E 490859 i SWEREF 99 TM.</w:t>
      </w:r>
    </w:p>
    <w:p>
      <w:r>
        <w:t>I avverkningsanmälan finns fynd av 27 naturvårdsarter, varav 10 är rödlistade, 12 är fridlysta, 20 är typiska (T) och 5 är signalarter (S): garnlav (VU, T), hussvala (VU, §4), knärot (VU, T, §8), harticka (NT, T), kryddspindling (NT, T), ladusvala (NT, §4), nötkråka (NT, T, §4), talltita (NT, §4), tretåig hackspett (NT, T, §4), äggvaxskivling (NT), finbräken (S, T), guckusko (S, T, §7), spindelblomster (S, T, §8), trådticka (S, T), tvåblad (S, §8), blåsippa (T, §9), brudborste (T), fjällskära (T), hultbräken (T), kransmossa (T), kärrfibbla (T), linnea (T), nordisk stormhatt (T), ormbär (T), svarta vinbär (T), fläcknycklar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14 fyndplatser för knärot registrerade på Artportalen. Figur 2 visar gränserna för buffertzoner på 50 m, som behöver lämnas kring fyndplatserna för att knärotslokalerna inte ska försvinna vid en avverkning. Av det avverkningsanmälda området överlappar 3.28 ha med buffertzonerna och får av detta skäl inte avverkas.</w:t>
      </w:r>
    </w:p>
    <w:p>
      <w:pPr>
        <w:pStyle w:val="Caption"/>
      </w:pPr>
      <w:r>
        <w:drawing>
          <wp:inline xmlns:a="http://schemas.openxmlformats.org/drawingml/2006/main" xmlns:pic="http://schemas.openxmlformats.org/drawingml/2006/picture">
            <wp:extent cx="5486400" cy="5580668"/>
            <wp:docPr id="2" name="Picture 2"/>
            <wp:cNvGraphicFramePr>
              <a:graphicFrameLocks noChangeAspect="1"/>
            </wp:cNvGraphicFramePr>
            <a:graphic>
              <a:graphicData uri="http://schemas.openxmlformats.org/drawingml/2006/picture">
                <pic:pic>
                  <pic:nvPicPr>
                    <pic:cNvPr id="0" name="A 29064-2026 karta knärot.png"/>
                    <pic:cNvPicPr/>
                  </pic:nvPicPr>
                  <pic:blipFill>
                    <a:blip r:embed="rId17"/>
                    <a:stretch>
                      <a:fillRect/>
                    </a:stretch>
                  </pic:blipFill>
                  <pic:spPr>
                    <a:xfrm>
                      <a:off x="0" y="0"/>
                      <a:ext cx="5486400" cy="558066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7017392, E 490859 i SWEREF 99 TM.</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Kryddspindling (NT)</w:t>
      </w:r>
      <w:r>
        <w:t xml:space="preserve"> signalerar örtrika granskogar som normalt har höga naturvärden. Oftast växer den i äldre granskog på kalkrikt underlag och svampen är en mycket användbar signalart för denna miljö. Den utgör en viktig karaktärsart för all äldre kalkbarrskog med lång trädkontinuitet av gran. På lokalerna förekommer nästan alltid många ovanliga och rödlistade arter. Den totala populationen i landet har minskat och bedöms fortsätta minska till följd av avverkning av äldre barrskogar. Kryddspindling är typisk art för </w:t>
      </w:r>
      <w:r>
        <w:rPr>
          <w:i/>
        </w:rPr>
        <w:t xml:space="preserve">9050 Näringsrik granskog </w:t>
      </w:r>
      <w:r>
        <w:t>(Nitare &amp; Skogsstyrelsen, 2000; SLU Artdatabanken, 2026).</w:t>
      </w:r>
    </w:p>
    <w:p>
      <w:r>
        <w:rPr>
          <w:b/>
        </w:rPr>
        <w:t>Nötkråka (NT, §4)</w:t>
      </w:r>
      <w:r>
        <w:t xml:space="preserve"> är uppdelad på de två underarterna tjocknäbbad nötkråka (NT) som häckar i mossrik granskog med närbelägna hasselbestånd i södra och mellersta Sverige samt smalnäbbad nötkråka som är specialiserad på sibirisk cembratall i norra Sverige. Minskningstakten, som framför allt rör den tjocknäbbade nötkråkan (NT), har uppgått till 25 (10–40) % under de senaste 15 åren och bedöms vara nära gränsvärdet för sårbar (VU). Minskningen avser förekomstarea, kvalitén på artens habitat (minskad förekomst av hassel och försämrade häckningsmiljöer i barrskog) och antalet reproduktiva individer. Reviren har en storlek på 12–15 hektar och den häckar i mossrik äldre granskog med närbelägna hasselbestånd inom 5–6 km avstånd från häckningsområdet.</w:t>
      </w:r>
    </w:p>
    <w:p>
      <w:r>
        <w:t xml:space="preserve">Avverkning, gallring och röjning av såväl granskog i häckningsreviret som hassel i födosöksområdena missgynnar nötkråkan kraftigt och det kan ta åtskilliga decennier innan skogen åter blir lämplig för häckning. För att säkerställa existensen för den tjocknäbbade nötkråkan bör de förekomster av hassel, som nu visat sig tillräckliga för nötkråkan, bevaras. Hasselbuskar bör inte huggas ned i hagmarker eller intill åkrar där nötkråkor födosöker, eftersom dessa fristående buskar ger betydligt mer nötter än hasselbuskar som står i skog. Likaså är bevarande av nuvarande karaktär hos sådan granskog, som nu genom angränsande hasselförekomst visat sig kunna hysa en nötkråkestam, nödvändig. Nötkråka är typisk art för </w:t>
      </w:r>
      <w:r>
        <w:rPr>
          <w:i/>
        </w:rPr>
        <w:t>9010 Taiga</w:t>
      </w:r>
      <w:r>
        <w:t xml:space="preserve"> (SLU Artdatabanken, 2026;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Äggvaxskivling (NT)</w:t>
      </w:r>
      <w:r>
        <w:t xml:space="preserve"> bildar mykorrhiza med gran och förekommer huvudsakligen i äldre blåbärsgranskog. Har i Sverige en nordlig utbredningsbild och är relativt vanlig i norra Sverige. Total population i landet bedöms ha minskat kraftigt och fortgående att minska p.g.a. slutavverkningar av kontinuitetsskogar. Skogar med rik förekomst av äggvaxskivling brukar ha en artrik flora av mykorrhizasvampar och kan betraktas som nyckelbiotoper (SLU Artdatabanken, 2024).</w:t>
      </w:r>
    </w:p>
    <w:p>
      <w:r>
        <w:rPr>
          <w:b/>
        </w:rPr>
        <w:t>Finbräken</w:t>
      </w:r>
      <w:r>
        <w:t xml:space="preserve"> växer på kalkrika marker i frisk eller fuktig mulljord. Den kräver konstant hög luftfuktighet och är mycket känslig för skogsbruksåtgärder. Arten är placerad högst upp i Skogsstyrelsens värdepyramid för bedömning av skog med höga naturvärden och utgör en karaktärsart för de mest skyddsvärda kalkgranskogarna med långvarig ekologisk kontinuitet och högt skyddsvärde. Finbräken är typisk art för </w:t>
      </w:r>
      <w:r>
        <w:rPr>
          <w:i/>
        </w:rPr>
        <w:t xml:space="preserve">9050 Näringsrik granskog </w:t>
      </w:r>
      <w:r>
        <w:t xml:space="preserve">och </w:t>
      </w:r>
      <w:r>
        <w:rPr>
          <w:i/>
        </w:rPr>
        <w:t xml:space="preserve">9040 Fjällbjörkskog </w:t>
      </w:r>
      <w:r>
        <w:t>(SLU Artdatabanken, 2024; Nitare &amp; Skogsstyrelsen, 2019).</w:t>
      </w:r>
    </w:p>
    <w:p>
      <w:r>
        <w:rPr>
          <w:b/>
        </w:rPr>
        <w:t>Guckusko (§7)</w:t>
      </w:r>
      <w:r>
        <w:t xml:space="preserve">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Guckusko är rödlistad som nära hotad (NT) i den europeiska rödlistan och Sverige hyser mer än halva den beräknade populationen av arten i EU, vilket innebär att vi har ett internationellt ansvar för arten. Guckusko är typisk art för </w:t>
      </w:r>
      <w:r>
        <w:rPr>
          <w:i/>
        </w:rPr>
        <w:t>9050 Näringsrik granskog</w:t>
      </w:r>
      <w:r>
        <w:t xml:space="preserve"> (SLU Artdatabanken, 2021; IUCN, 2011).</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Brudborste</w:t>
      </w:r>
      <w:r>
        <w:t xml:space="preserve"> är typisk art för </w:t>
      </w:r>
      <w:r>
        <w:rPr>
          <w:i/>
        </w:rPr>
        <w:t xml:space="preserve">9050 Näringsrik granskog, 9040 Fjällbjörkskog, 6530 Lövängar, 6430 Högörtängar </w:t>
      </w:r>
      <w:r>
        <w:t xml:space="preserve">och </w:t>
      </w:r>
      <w:r>
        <w:rPr>
          <w:i/>
        </w:rPr>
        <w:t>6510 Slåtterängar i låglandet</w:t>
      </w:r>
      <w:r>
        <w:t xml:space="preserve"> (SLU Artdatabanken, 2025).</w:t>
      </w:r>
    </w:p>
    <w:p>
      <w:r>
        <w:rPr>
          <w:b/>
        </w:rPr>
        <w:t xml:space="preserve">Fjällskära </w:t>
      </w:r>
      <w:r>
        <w:t xml:space="preserve">är typisk art för </w:t>
      </w:r>
      <w:r>
        <w:rPr>
          <w:i/>
        </w:rPr>
        <w:t xml:space="preserve">9040 Fjällbjörkskog, 6530 Lövängar, 6510 Slåtterängar i låglandet </w:t>
      </w:r>
      <w:r>
        <w:t xml:space="preserve">och </w:t>
      </w:r>
      <w:r>
        <w:rPr>
          <w:i/>
        </w:rPr>
        <w:t>7310 Aapamyrar</w:t>
      </w:r>
      <w:r>
        <w:t>. Fjällskära är värdväxt för bl.a. de rödlistade fjärilarna fjällskärefrövecklare (VU) och fjällskäreplattmal (VU)</w:t>
      </w:r>
      <w:r>
        <w:rPr>
          <w:i/>
        </w:rPr>
        <w:t xml:space="preserve"> </w:t>
      </w:r>
      <w:r>
        <w:t>(SLU Artdatabanken, 2026).</w:t>
      </w:r>
    </w:p>
    <w:p>
      <w:r>
        <w:rPr>
          <w:b/>
        </w:rPr>
        <w:t xml:space="preserve">Hultbräken </w:t>
      </w:r>
      <w:r>
        <w:t xml:space="preserve">är typisk art för </w:t>
      </w:r>
      <w:r>
        <w:rPr>
          <w:i/>
        </w:rPr>
        <w:t xml:space="preserve">9050 Näringsrik granskog </w:t>
      </w:r>
      <w:r>
        <w:t>(SLU Artdatabanken, 2025).</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r>
        <w:rPr>
          <w:b/>
        </w:rPr>
        <w:t>Kärrfibbla</w:t>
      </w:r>
      <w:r>
        <w:t xml:space="preserve"> är typisk art för </w:t>
      </w:r>
      <w:r>
        <w:rPr>
          <w:i/>
        </w:rPr>
        <w:t xml:space="preserve">9050 Näringsrik granskog, 9080 Lövsumpskog </w:t>
      </w:r>
      <w:r>
        <w:t>och</w:t>
      </w:r>
      <w:r>
        <w:rPr>
          <w:i/>
        </w:rPr>
        <w:t xml:space="preserve"> 9040 Fjällbjörkskog </w:t>
      </w:r>
      <w:r>
        <w:t>(SLU Artdatabanken, 2025).</w:t>
      </w:r>
    </w:p>
    <w:p>
      <w:r>
        <w:rPr>
          <w:b/>
        </w:rPr>
        <w:t xml:space="preserve">Linnea </w:t>
      </w:r>
      <w:r>
        <w:t xml:space="preserve">är typisk art för </w:t>
      </w:r>
      <w:r>
        <w:rPr>
          <w:i/>
        </w:rPr>
        <w:t>9010 Taiga</w:t>
      </w:r>
      <w:r>
        <w:t>. På linnea kan man hitta sporsäcksvampen linnealudd (SLU Artdatabanken, 2025).</w:t>
      </w:r>
    </w:p>
    <w:p>
      <w:r>
        <w:rPr>
          <w:b/>
        </w:rPr>
        <w:t>Nordisk stormhatt</w:t>
      </w:r>
      <w:r>
        <w:t xml:space="preserve"> är typisk art för </w:t>
      </w:r>
      <w:r>
        <w:rPr>
          <w:i/>
        </w:rPr>
        <w:t xml:space="preserve">9050 Näringsrik granskog, 9040 Fjällbjörkskog </w:t>
      </w:r>
      <w:r>
        <w:t xml:space="preserve">och </w:t>
      </w:r>
      <w:r>
        <w:rPr>
          <w:i/>
        </w:rPr>
        <w:t>6430 Högörtängar</w:t>
      </w:r>
      <w:r>
        <w:t>. Stormhattsrotvecklare (NT) samt stormhattshumla, som är rödlistad som nära hotad (NT) på den europeiska rödlistan, är knuten till nordisk stormhatt</w:t>
      </w:r>
      <w:r>
        <w:rPr>
          <w:i/>
        </w:rPr>
        <w:t xml:space="preserve"> </w:t>
      </w:r>
      <w:r>
        <w:t>(SLU Artdatabanken, 2026; IUCN, 2025).</w:t>
      </w:r>
    </w:p>
    <w:p>
      <w:r>
        <w:rPr>
          <w:b/>
        </w:rPr>
        <w:t>Ormbär</w:t>
      </w:r>
      <w:r>
        <w:t xml:space="preserve"> är typisk art för </w:t>
      </w:r>
      <w:r>
        <w:rPr>
          <w:i/>
        </w:rPr>
        <w:t xml:space="preserve">9050 Näringsrik granskog </w:t>
      </w:r>
      <w:r>
        <w:t>(SLU Artdatabanken, 2025).</w:t>
      </w:r>
    </w:p>
    <w:p>
      <w:r>
        <w:rPr>
          <w:b/>
        </w:rPr>
        <w:t>Svarta vinbär</w:t>
      </w:r>
      <w:r>
        <w:t xml:space="preserve"> är typisk art för </w:t>
      </w:r>
      <w:r>
        <w:rPr>
          <w:i/>
        </w:rPr>
        <w:t xml:space="preserve">9050 Näringsrik granskog </w:t>
      </w:r>
      <w:r>
        <w:t>och</w:t>
      </w:r>
      <w:r>
        <w:rPr>
          <w:i/>
        </w:rPr>
        <w:t xml:space="preserve"> 6430 Högörtängar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harticka (NT, T), kryddspindling (NT, T), nötkråka (NT, T, §4), tretåig hackspett (NT, T, §4), finbräken (S, T), guckusko (S, T, §7), spindelblomster (S, T, §8), trådticka (S, T), blåsippa (T, §9), brudborste (T), fjällskära (T), hultbräken (T), kransmossa (T), kärrfibbla (T), linnea (T), nordisk stormhatt (T), ormbär (T) och svarta vinbär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Guckusko – ekologi samt krav på livsmiljön</w:t>
      </w:r>
    </w:p>
    <w:p>
      <w:r>
        <w:t>Guckusko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(SLU Artdatabanken, 2021).Dikning och slutavverkning av guckuskons växtplatser är ett direkt hot mot arten och bör undvikas. Kalavverkning missgynnar arten, dels om hyggesavfall lämnas, vilket kan kväva enskilda bestånd, dels indirekt genom att mer konkurrensstarka arter gynnas. Körskador av skogsmaskiner och hyggesplöjning kan leda till lokalt ändrad hydrologi, då de mullrika, fuktiga jordarna är mjuka. Sverige hyser mer än halva den beräknade populationen av arten i EU, vilket innebär att vi har ett internationellt ansvar för arten (SLU Artdatabanken, 2021).</w:t>
      </w:r>
    </w:p>
    <w:p>
      <w:pPr>
        <w:pStyle w:val="Heading2"/>
      </w:pPr>
      <w:r>
        <w:t>Referenser – guckusko</w:t>
      </w:r>
    </w:p>
    <w:p>
      <w:r>
        <w:t xml:space="preserve">SLU Artdatabanken, 2021.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