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3506-2024 i Östersunds kommun</w:t>
      </w:r>
    </w:p>
    <w:p>
      <w:r>
        <w:t>Denna tillsynsbegäran behandlar höga naturvärden i samrådsanmälan S 3506-2024 i Östersunds kommun som inkom 2024-09-05 och omfattar 48,9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S 3506-2024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7008609, E 504057 i SWEREF 99 TM.</w:t>
      </w:r>
    </w:p>
    <w:p>
      <w:r>
        <w:t>I och inom 25 meter från samrådsanmälan finns fynd av 41 naturvårdsarter, varav 19 är rödlistade, 15 är fridlysta, 28 är typiska (T) och 18 är signalarter (S): garnlav (VU, T), gränsticka (VU, T), knärot (VU, T, §8), smalskaftslav (VU), doftskinn (NT, T), gammelgransskål (NT, T), kötticka (NT), lavskrika (NT, T, §4), liten svartspik (NT), lunglav (NT, T), rosenticka (NT, T), rynkskinn (NT, T), skogsfru (NT, §8), skrovellav (NT, T), stjärntagging (NT, T), talltita (NT, §4), tretåig hackspett (NT, T, §4), ullticka (NT, T), vitgrynig nållav (NT), bårdlav (S, T), grönkulla (S, T, §8), guckusko (S, T, §7), gulnål (S, T), gytterlav (S, T), korallblylav (S, T), korallrot (S, T, §8), kransrams (S, T), luddlav (S, T), mörk husmossa (S, T), plattlummer (S, T, §9), rödgul trumpetsvamp (S), spindelblomster (S, T, §8), stuplav (S, T), svavelriska (S), trådfräken (S), tvåblad (S, §8), vedticka (S, T), järpe (T, §4), brudsporre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9.77 ha med buffertzonerna och får av detta skäl inte avverkas.</w:t>
      </w:r>
    </w:p>
    <w:p>
      <w:pPr>
        <w:pStyle w:val="Caption"/>
      </w:pPr>
      <w:r>
        <w:drawing>
          <wp:inline xmlns:a="http://schemas.openxmlformats.org/drawingml/2006/main" xmlns:pic="http://schemas.openxmlformats.org/drawingml/2006/picture">
            <wp:extent cx="5486400" cy="4200584"/>
            <wp:docPr id="2" name="Picture 2"/>
            <wp:cNvGraphicFramePr>
              <a:graphicFrameLocks noChangeAspect="1"/>
            </wp:cNvGraphicFramePr>
            <a:graphic>
              <a:graphicData uri="http://schemas.openxmlformats.org/drawingml/2006/picture">
                <pic:pic>
                  <pic:nvPicPr>
                    <pic:cNvPr id="0" name="S 3506-2024 karta knärot.png"/>
                    <pic:cNvPicPr/>
                  </pic:nvPicPr>
                  <pic:blipFill>
                    <a:blip r:embed="rId17"/>
                    <a:stretch>
                      <a:fillRect/>
                    </a:stretch>
                  </pic:blipFill>
                  <pic:spPr>
                    <a:xfrm>
                      <a:off x="0" y="0"/>
                      <a:ext cx="5486400" cy="42005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7008609, E 504057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knärot (VU, T, §8), doftskinn (NT, T), gammelgransskål (NT, T), lavskrika (NT, T, §4), lunglav (NT, T), rosenticka (NT, T), rynkskinn (NT, T), skrovellav (NT, T), stjärntagging (NT, T), tretåig hackspett (NT, T, §4), ullticka (NT, T), bårdlav (S, T), grönkulla (S, T, §8), guckusko (S, T, §7), gulnål (S, T), gytterlav (S, T), korallblylav (S, T), korallrot (S, T, §8), kransrams (S, T), luddlav (S, T), mörk husmossa (S, T), plattlummer (S, T, §9), spindelblomster (S, T, §8), stuplav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