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29064-2026 i Östersunds kommun</w:t>
      </w:r>
    </w:p>
    <w:p>
      <w:r>
        <w:t>Detta klagomål behandlar höga naturvärden i avverkningsanmälan A 29064-2026 i Östersunds kommun som inkom 2026-06-26 och omfattar 4,2 ha.</w:t>
      </w:r>
    </w:p>
    <w:p>
      <w:pPr>
        <w:pStyle w:val="Caption"/>
      </w:pPr>
      <w:r>
        <w:drawing>
          <wp:inline xmlns:a="http://schemas.openxmlformats.org/drawingml/2006/main" xmlns:pic="http://schemas.openxmlformats.org/drawingml/2006/picture">
            <wp:extent cx="5168117" cy="5724000"/>
            <wp:docPr id="1" name="Picture 1"/>
            <wp:cNvGraphicFramePr>
              <a:graphicFrameLocks noChangeAspect="1"/>
            </wp:cNvGraphicFramePr>
            <a:graphic>
              <a:graphicData uri="http://schemas.openxmlformats.org/drawingml/2006/picture">
                <pic:pic>
                  <pic:nvPicPr>
                    <pic:cNvPr id="0" name="A 29064-2026 karta.png"/>
                    <pic:cNvPicPr/>
                  </pic:nvPicPr>
                  <pic:blipFill>
                    <a:blip r:embed="rId16"/>
                    <a:stretch>
                      <a:fillRect/>
                    </a:stretch>
                  </pic:blipFill>
                  <pic:spPr>
                    <a:xfrm>
                      <a:off x="0" y="0"/>
                      <a:ext cx="516811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7017392, E 490859 i SWEREF 99 TM.</w:t>
      </w:r>
    </w:p>
    <w:p>
      <w:r>
        <w:t>I avverkningsanmälan finns fynd av 27 naturvårdsarter, varav 10 är rödlistade, 12 är fridlysta, 20 är typiska (T) och 5 är signalarter (S): garnlav (VU, T), hussvala (VU, §4), knärot (VU, T, §8), harticka (NT, T), kryddspindling (NT, T), ladusvala (NT, §4), nötkråka (NT, T, §4), talltita (NT, §4), tretåig hackspett (NT, T, §4), äggvaxskivling (NT), finbräken (S, T), guckusko (S, T, §7), spindelblomster (S, T, §8), trådticka (S, T), tvåblad (S, §8), blåsippa (T, §9), brudborste (T), fjällskära (T), hultbräken (T), kransmossa (T), kärrfibbla (T), linnea (T), nordisk stormhatt (T), ormbär (T), svarta vinbär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3.28 ha med buffertzonerna och får av detta skäl inte avverkas.</w:t>
      </w:r>
    </w:p>
    <w:p>
      <w:pPr>
        <w:pStyle w:val="Caption"/>
      </w:pPr>
      <w:r>
        <w:drawing>
          <wp:inline xmlns:a="http://schemas.openxmlformats.org/drawingml/2006/main" xmlns:pic="http://schemas.openxmlformats.org/drawingml/2006/picture">
            <wp:extent cx="5486400" cy="5580668"/>
            <wp:docPr id="2" name="Picture 2"/>
            <wp:cNvGraphicFramePr>
              <a:graphicFrameLocks noChangeAspect="1"/>
            </wp:cNvGraphicFramePr>
            <a:graphic>
              <a:graphicData uri="http://schemas.openxmlformats.org/drawingml/2006/picture">
                <pic:pic>
                  <pic:nvPicPr>
                    <pic:cNvPr id="0" name="A 29064-2026 karta knärot.png"/>
                    <pic:cNvPicPr/>
                  </pic:nvPicPr>
                  <pic:blipFill>
                    <a:blip r:embed="rId17"/>
                    <a:stretch>
                      <a:fillRect/>
                    </a:stretch>
                  </pic:blipFill>
                  <pic:spPr>
                    <a:xfrm>
                      <a:off x="0" y="0"/>
                      <a:ext cx="5486400" cy="55806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7017392, E 490859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Fjällskära </w:t>
      </w:r>
      <w:r>
        <w:t xml:space="preserve">är typisk art för </w:t>
      </w:r>
      <w:r>
        <w:rPr>
          <w:i/>
        </w:rPr>
        <w:t xml:space="preserve">9040 Fjällbjörkskog, 6530 Lövängar, 6510 Slåtterängar i låglandet </w:t>
      </w:r>
      <w:r>
        <w:t xml:space="preserve">och </w:t>
      </w:r>
      <w:r>
        <w:rPr>
          <w:i/>
        </w:rPr>
        <w:t>7310 Aapamyrar</w:t>
      </w:r>
      <w:r>
        <w:t>. Fjällskära är värdväxt för bl.a. de rödlistade fjärilarna fjällskärefrövecklare (VU) och fjällskäreplattmal (VU)</w:t>
      </w:r>
      <w:r>
        <w:rPr>
          <w:i/>
        </w:rPr>
        <w:t xml:space="preserve"> </w:t>
      </w:r>
      <w:r>
        <w:t>(SLU Artdatabanken, 2026).</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r>
        <w:rPr>
          <w:b/>
        </w:rPr>
        <w:t>Svarta vinbär</w:t>
      </w:r>
      <w:r>
        <w:t xml:space="preserve"> är typisk art för </w:t>
      </w:r>
      <w:r>
        <w:rPr>
          <w:i/>
        </w:rPr>
        <w:t xml:space="preserve">9050 Näringsrik granskog </w:t>
      </w:r>
      <w:r>
        <w:t>och</w:t>
      </w:r>
      <w:r>
        <w:rPr>
          <w:i/>
        </w:rPr>
        <w:t xml:space="preserve"> 6430 Högörtängar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