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4951498"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495149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19 naturvårdsarter, varav 14 är rödlistade, 3 är fridlysta, 8 är typiska (T) och 3 är signalarter (S): borgsjömusseron (VU), garnlav (VU, T), kopparspindling (VU), läderdoftande fingersvamp (VU), stor odörspindling (VU), taggfingersvamp (VU), dropptaggsvamp (NT, T), fjällig taggsvamp s.str. (NT), gultoppig fingersvamp (NT), kryddspindling (NT, T), lunglav (NT, T), orange taggsvamp (NT, T), talltita (NT, §4), äggvaxskivling (NT),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kryddspindling (NT, T), lunglav (NT, T), orange taggsvamp (NT,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