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20 naturvårdsarter, varav 4 är rödlistade, 6 är fridlysta, 15 är typiska (T) och 5 är signalarter (S): garnlav (VU, T), lavskrika (NT, T, §4), talltita (NT, §4), tretåig hackspett (NT, T, §4), gräsull (S), guckusko (S, T, §7), rödgul trumpetsvamp (S), strimspindling (S), vitvaxing agg. (S), bergsslok (T), blåbär (T), blåsippa (T, §9), brudborste (T), fjällskära (T), humleblomster (T), kransmossa (T), kärrfibbla (T), liljekonvalj (T),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guckusko (S, T, §7), bergsslok (T), blåbär (T), blåsippa (T, §9), brudborste (T), fjällskära (T), humleblomster (T), kransmossa (T), kärrfibbla (T), liljekonvalj (T),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