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7457-2023 i Östersunds kommun</w:t>
      </w:r>
    </w:p>
    <w:p>
      <w:r>
        <w:t>Detta klagomål behandlar höga naturvärden i avverkningsanmälan A 7457-2023 i Östersunds kommun som inkom 2023-02-14 och omfattar 2,5 ha.</w:t>
      </w:r>
    </w:p>
    <w:p>
      <w:pPr>
        <w:pStyle w:val="Caption"/>
      </w:pPr>
      <w:r>
        <w:drawing>
          <wp:inline xmlns:a="http://schemas.openxmlformats.org/drawingml/2006/main" xmlns:pic="http://schemas.openxmlformats.org/drawingml/2006/picture">
            <wp:extent cx="5484636" cy="5724000"/>
            <wp:docPr id="1" name="Picture 1"/>
            <wp:cNvGraphicFramePr>
              <a:graphicFrameLocks noChangeAspect="1"/>
            </wp:cNvGraphicFramePr>
            <a:graphic>
              <a:graphicData uri="http://schemas.openxmlformats.org/drawingml/2006/picture">
                <pic:pic>
                  <pic:nvPicPr>
                    <pic:cNvPr id="0" name="A 7457-2023 karta.png"/>
                    <pic:cNvPicPr/>
                  </pic:nvPicPr>
                  <pic:blipFill>
                    <a:blip r:embed="rId16"/>
                    <a:stretch>
                      <a:fillRect/>
                    </a:stretch>
                  </pic:blipFill>
                  <pic:spPr>
                    <a:xfrm>
                      <a:off x="0" y="0"/>
                      <a:ext cx="5484636"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7017597, E 505455 i SWEREF 99 TM.</w:t>
      </w:r>
    </w:p>
    <w:p>
      <w:r>
        <w:t>I och inom 23 meter från avverkningsanmälan finns fynd av 15 naturvårdsarter, varav 12 är rödlistade, 2 är fridlysta, 3 är typiska (T) och 3 är signalarter (S): ruttaggsvamp (EN), fjällfotad musseron (VU), frygisk spindling (VU), garnlav (VU, T), grantaggsvamp (NT), rödbrun klubbdyna (NT), rödfläckig zontaggsvamp (NT), skarp dropptaggsvamp (NT), tallriska (NT), talltita (NT, §4), ullticka (NT, T), äggvaxskivling (NT), diskvaxskivling (S), guckusko (S, T, §7)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Rödfläckig zontaggsvamp (NT)</w:t>
      </w:r>
      <w:r>
        <w:t xml:space="preserve"> bildar mykorrhiza med gran i barrskog på kalkrik eller annan basiskt påverkad mark. Den totala populationen i landet har minskat och bedöms fortsätta minska till följd av avverkning av äldre kalkbarrskog. Det finns inga indikationer på att arten långsiktigt kan etablera eller reproducera sig i skogsbestånd som brukas med trakthyggesmetoder, markberedning, gödsling eller föryngring med förädlat plantmaterial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