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8423-2023 i Östersunds kommun</w:t>
      </w:r>
    </w:p>
    <w:p>
      <w:r>
        <w:t>Detta klagomål behandlar höga naturvärden i avverkningsanmälan A 8423-2023 i Östersunds kommun som inkom 2023-02-20 och omfattar 53,1 ha.</w:t>
      </w:r>
    </w:p>
    <w:p>
      <w:pPr>
        <w:pStyle w:val="Caption"/>
      </w:pPr>
      <w:r>
        <w:drawing>
          <wp:inline xmlns:a="http://schemas.openxmlformats.org/drawingml/2006/main" xmlns:pic="http://schemas.openxmlformats.org/drawingml/2006/picture">
            <wp:extent cx="5486400" cy="4751109"/>
            <wp:docPr id="1" name="Picture 1"/>
            <wp:cNvGraphicFramePr>
              <a:graphicFrameLocks noChangeAspect="1"/>
            </wp:cNvGraphicFramePr>
            <a:graphic>
              <a:graphicData uri="http://schemas.openxmlformats.org/drawingml/2006/picture">
                <pic:pic>
                  <pic:nvPicPr>
                    <pic:cNvPr id="0" name="A 8423-2023 karta.png"/>
                    <pic:cNvPicPr/>
                  </pic:nvPicPr>
                  <pic:blipFill>
                    <a:blip r:embed="rId16"/>
                    <a:stretch>
                      <a:fillRect/>
                    </a:stretch>
                  </pic:blipFill>
                  <pic:spPr>
                    <a:xfrm>
                      <a:off x="0" y="0"/>
                      <a:ext cx="5486400" cy="47511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7012507, E 509667 i SWEREF 99 TM.</w:t>
      </w:r>
    </w:p>
    <w:p>
      <w:r>
        <w:t>I avverkningsanmälan finns fynd av 4 naturvårdsarter, varav 2 är rödlistade, 1 är fridlyst, 3 är typiska (T) och 1 är signalart (S): garnlav (VU, T), dvärgbägarlav (NT, T), stor aspticka (S, T)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