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3410-2022 i Östersunds kommun</w:t>
      </w:r>
    </w:p>
    <w:p>
      <w:r>
        <w:t>Denna tillsynsbegäran behandlar höga naturvärden i avverkningsanmälan A 3410-2022 i Östersunds kommun som inkom 2022-01-24 och omfattar 10,2 ha.</w:t>
      </w:r>
    </w:p>
    <w:p>
      <w:pPr>
        <w:pStyle w:val="Caption"/>
      </w:pPr>
      <w:r>
        <w:drawing>
          <wp:inline xmlns:a="http://schemas.openxmlformats.org/drawingml/2006/main" xmlns:pic="http://schemas.openxmlformats.org/drawingml/2006/picture">
            <wp:extent cx="5486400" cy="4450913"/>
            <wp:docPr id="1" name="Picture 1"/>
            <wp:cNvGraphicFramePr>
              <a:graphicFrameLocks noChangeAspect="1"/>
            </wp:cNvGraphicFramePr>
            <a:graphic>
              <a:graphicData uri="http://schemas.openxmlformats.org/drawingml/2006/picture">
                <pic:pic>
                  <pic:nvPicPr>
                    <pic:cNvPr id="0" name="A 3410-2022 karta.png"/>
                    <pic:cNvPicPr/>
                  </pic:nvPicPr>
                  <pic:blipFill>
                    <a:blip r:embed="rId16"/>
                    <a:stretch>
                      <a:fillRect/>
                    </a:stretch>
                  </pic:blipFill>
                  <pic:spPr>
                    <a:xfrm>
                      <a:off x="0" y="0"/>
                      <a:ext cx="5486400" cy="445091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6985084, E 482841 i SWEREF 99 TM.</w:t>
      </w:r>
    </w:p>
    <w:p>
      <w:r>
        <w:t>I och inom 24 meter från avverkningsanmälan finns fynd av 44 naturvårdsarter, varav 29 är rödlistade, 3 är fridlysta, 15 är typiska (T) och 14 är signalarter (S): blyspindling (EN), brandtaggsvamp (EN), sammetstaggsvamp (EN), siljansspindling (EN), fjällfotad musseron (VU), gul lammticka (VU), gul taggsvamp (VU, T), gyllenspindling (VU), kopparspindling (VU), läderdoftande fingersvamp (VU), rotfingersvamp (VU), stor odörspindling (VU), taggfingersvamp (VU), tvillingspindling (VU), barrviolspindling (NT), blå slemspindling (NT, T), blå taggsvamp (NT, T), dofttaggsvamp (NT, T), fjällig taggsvamp s.str. (NT), flattoppad klubbsvamp (NT), grantaggsvamp (NT), gultoppig fingersvamp (NT), kryddspindling (NT, T), lunglav (NT, T), orange taggsvamp (NT, T), persiljespindling (NT), rödbrun klubbdyna (NT), vårärt (NT, T), äggvaxskivling (NT), brun klibbskivling (S), diskvaxskivling (S), droppklibbskivling (S), grönkulla (S, T, §8), guldkremla (S), kransrams (S, T), strimspindling (S), svart trolldruva (S, T), svavelriska (S), tibast (S, T), trådticka (S, T), tvåblad (S, §8), underviol (S, T), zontaggsvamp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Blyspindling (EN) </w:t>
      </w:r>
      <w:r>
        <w:t>är en mycket sällsynt och starkt hotad art som bildar mykorrhiza med gran i kalkbarrskog. Huvudsakligen knuten till äldre skog på frisk till fuktig mark. Den totala populationen i landet bedöms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överstiger gränsvärdet för Starkt hotad (EN). Arten är placerad i toppen på Skogsstyrelsens värdepyramid för bedömning av skog med höga naturvärden (SLU Artdatabanken, 2026; Nitare &amp; Skogsstyrelsen, 2019).</w:t>
      </w:r>
    </w:p>
    <w:p>
      <w:r>
        <w:rPr>
          <w:b/>
        </w:rPr>
        <w:t xml:space="preserve">Brandtaggsvamp (EN) </w:t>
      </w:r>
      <w:r>
        <w:t>är en sällsynt och starkt hotad svamp som bildar mykorrhiza med gran i äldre barrskogar med lång kontinuitet, främst på kalkrik eller annan basiskt påverkad mark. Arten är placerad högst upp i Skogsstyrelsens värdepyramid för bedömning av skog med höga naturvärden och hotas främst av avverkning av kalkpåverkad barrskog. Den tål inte en slutavverkning utan kräver ett kontinuerligt äldre trädskikt med gran. 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(SLU Artdatabanken, 2026; Nitare &amp; Skogsstyrelsen, 2019).</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Siljansspindling (EN)</w:t>
      </w:r>
      <w:r>
        <w:t xml:space="preserve"> är en starkt hotad art som bildar mykorrhiza med gran, möjligen också tall, i kalkbarrskog. Den är huvudsakligen knuten till äldre skog på kalkrik mark. Arten är placerad högst upp i Skogsstyrelsens värdepyramid för bedömning av skog med höga naturvärden och lokaler där arten finns bör undantas från skogsbruk. Den svenska och norska populationen utgör artens kärnområde i ett europeiskt perspektiv och arten är även globalt rödlistad som sårbar (VU) vilket innebär att Sverige har ett särskilt bevarandeansvar för arten (SLU Artdatabanken, 2026; Nitare &amp; Skogsstyrelsen, 2019; IUCN, 2019).</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blå slemspindling (NT, T), blå taggsvamp (NT, T), dofttaggsvamp (NT, T), kryddspindling (NT, T), lunglav (NT, T), orange taggsvamp (NT, T), vårärt (NT, T), grönkulla (S, T, §8), kransrams (S, T), svart trolldruva (S, T), tibast (S, T), trådticka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