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16845-2025 i Östersunds kommun</w:t>
      </w:r>
    </w:p>
    <w:p>
      <w:r>
        <w:t>Denna tillsynsbegäran behandlar höga naturvärden i avverkningsanmälan A 16845-2025 i Östersunds kommun som inkom 2025-04-07 och omfattar 18,1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7003729, E 509007 i SWEREF 99 TM.</w:t>
      </w:r>
    </w:p>
    <w:p>
      <w:r>
        <w:t>I och inom 25 meter från avverkningsanmälan finns fynd av 10 naturvårdsarter, varav 10 är rödlistade och 5 är typiska (T): skrovlig taggsvamp (VU), dropptaggsvamp (NT, T), dvärgbägarlav (NT, T), kortskaftad ärgspik (NT), lunglav (NT, T), mörk kolflarnlav (NT), nordtagging (NT), orange taggsvamp (NT,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orange taggsvamp (NT, T) och reliktbock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