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4967-2025 i Östersunds kommun</w:t>
      </w:r>
    </w:p>
    <w:p>
      <w:r>
        <w:t>Detta dokument behandlar höga naturvärden i avverkningsanmälan A 4967-2025 i Östersunds kommun. Denna avverkningsanmälan inkom 2025-02-02 00:00:00 och omfattar 26,9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33 naturvårdsarter hittats: bitter taggsvamp (VU), fjällfotad fingersvamp (VU), fjällfotad musseron (VU), kejsarskivling (VU), läderdoftande fingersvamp (VU), skäggvaxskivling (VU), taggfingersvamp (VU), blek fingersvamp (NT), blå taggsvamp (NT), dofttaggsvamp (NT), druvfingersvamp (NT), flattoppad klubbsvamp (NT), garnlav (NT), grantaggsvamp (NT), granticka (NT), gultoppig fingersvamp (NT), liten svartspik (NT), luddfingersvamp (NT), lunglav (NT), orange taggsvamp (NT), småflikig brosklav (NT), ullticka (NT), vitgrynig nållav (NT), äggvaxskivling (NT), brun klibbskivling (S), finbräken (S), fjällig taggsvamp s.str. (S), granriska (S), skinnlav (S), strimspindling (S), stuplav (S), svart trolldruva (S) och svavelriska (S). Av dessa är 24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32083"/>
            <wp:docPr id="1" name="Picture 1"/>
            <wp:cNvGraphicFramePr>
              <a:graphicFrameLocks noChangeAspect="1"/>
            </wp:cNvGraphicFramePr>
            <a:graphic>
              <a:graphicData uri="http://schemas.openxmlformats.org/drawingml/2006/picture">
                <pic:pic>
                  <pic:nvPicPr>
                    <pic:cNvPr id="0" name="A 4967-2025 karta.png"/>
                    <pic:cNvPicPr/>
                  </pic:nvPicPr>
                  <pic:blipFill>
                    <a:blip r:embed="rId16"/>
                    <a:stretch>
                      <a:fillRect/>
                    </a:stretch>
                  </pic:blipFill>
                  <pic:spPr>
                    <a:xfrm>
                      <a:off x="0" y="0"/>
                      <a:ext cx="5486400" cy="34320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6991660, E 483675 i SWEREF 99 TM.</w:t>
      </w:r>
    </w:p>
    <w:p>
      <w:r>
        <w:rPr>
          <w:b/>
        </w:rPr>
        <w:t xml:space="preserve">Bitter taggsvamp (VU) </w:t>
      </w:r>
      <w:r>
        <w:t>är en sällsynt ”toppart” som huvudsakligen förekommer på rik mark i gamla barrskogar med långvarig kontinuitet. Svampen har i friskt tillstånd en säregen doft av bittermandelolja och fruktköttet är mycket bittert i smaken. Arten ingår i ett åtgärdsprogram för hotade arter (ÅGP) och är placerad högst upp i Skogsstyrelsens värdepyramid för bedömning av skog med höga naturvärden. Arten missgynnas av skogsbruk och eftersom den huvudsakligen växer i äldre barrskog hotas flera växtplatser av slutavverkning. Fler områden med äldre barskog på kalkrik mark bör skyddas och helt undantas från skogsbruk (SLU Artdatabanken, 2024; Nitare &amp; Skogsstyrelsen, 2019).</w:t>
      </w:r>
    </w:p>
    <w:p>
      <w:r>
        <w:rPr>
          <w:b/>
        </w:rPr>
        <w:t xml:space="preserve">Blek fingersvamp (NT) </w:t>
      </w:r>
      <w:r>
        <w:t>bildar mykorrhiza med dels gran i ängsgranskog men även under bok, ek och avenbok i ädellövskog. Arten är känslig för olika skogsbruksåtgärder och därför på tillbakagång såväl i Sverige som i andra europeiska länder. Arten hotas främst av slutavverkning och andra skogsbruksåtgärder. Arten tål inte en slutavverkning och sannolikt inte heller en kraftig gallring. Skogsområden med arten bör undantas från storskaligt skogsbruk. Slutavverkning, kraftig gallring och skogsgödsling måste helt undvikas, liksom körning med tunga maskiner (SLU Artdatabanken, 2024; Nitare &amp; Skogsstyrelsen, 2019).</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 xml:space="preserve">Druvfingersvamp (NT) </w:t>
      </w:r>
      <w:r>
        <w:t>växer i skogar med lång skoglig kontinuitet och uppträder gärna på ytor med tunna humuslager och blottad mineraljord, t.ex. i sluttningar eller i närheten av stigar. Den är placerad högst upp i Skogsstyrelsens värdepyramid för bedömning av skog med höga naturvärden och all form av skogsavverkning innebär hot. Arten tål inte en slutavverkning och lokalerna bör undantas från rationella skogsbruksmetoder och inkluderas i formellt skyddad skog. Druvfingersvampar utgör en liten grupp snarlika arter, vilka utgör ett artkomplex som är under utredning. Gruppen omfattar minst fem olika arter i Sverige, men tills vidare behandlas druvfingersvamp här i en klassisk kollektiv bemärkelse som en enda art (SLU Artdatabanken, 2024; Nitare &amp; Skogsstyrelsen, 2019).</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(Nitare &amp; Skogsstyrelsen, 2019).</w:t>
      </w:r>
    </w:p>
    <w:p>
      <w:r>
        <w:rPr>
          <w:b/>
        </w:rPr>
        <w:t xml:space="preserve">Fjällfotad fingersvamp (VU) </w:t>
      </w:r>
      <w:r>
        <w:t>är en mycket sällsynt ”toppart” som</w:t>
      </w:r>
      <w:r>
        <w:rPr>
          <w:b/>
        </w:rPr>
        <w:t xml:space="preserve"> </w:t>
      </w:r>
      <w:r>
        <w:t>bildar mykorrhiza med gran i kalkbarrskog. Då arten förekommer i en produktiv skogsmiljö med långvarig trädkontinuitet bedöms svampens totala population ha minskat kraftigt under senare tid som följd av skogsbruksåtgärder. Samtliga växtplatser bör erhålla ett långsiktigt formellt skydd. Fjällfotad fingersvamp</w:t>
      </w:r>
      <w:r>
        <w:rPr>
          <w:b/>
        </w:rPr>
        <w:t xml:space="preserve"> </w:t>
      </w:r>
      <w:r>
        <w:t>är placerad högst upp i Skogsstyrelsens värdepyramid för bedömning av skog med höga naturvärden och globalt rödlistad som nära hotad (NT) vilket innebär att Sverige har ett internationellt ansvar för arten (SLU Artdatabanken, 2024; IUCN, 2019; Nitare &amp; Skogsstyrelsen, 2019).</w:t>
      </w:r>
    </w:p>
    <w:p>
      <w:r>
        <w:rPr>
          <w:b/>
        </w:rPr>
        <w:t>Fjällfotad musseron (VU)</w:t>
      </w:r>
      <w:r>
        <w:t xml:space="preserve"> bildar mykorrhiza med gran i äldre barrskog på kalkrik mark. Arten är en god indikator på en skyddsvärd miljö och platser där den förekommer bör därför undantas från storskaligt skogsbruk (SLU Artdatabanken, 2024; Nitare &amp; Skogsstyrelsen, 2019).</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Kejsarskivling (VU)</w:t>
      </w:r>
      <w:r>
        <w:t xml:space="preserve"> bildar mykorrhiza med tall, ibland även med gran och växer huvudsakligen på kalkrik mark i barrskog, framförallt mossig gammal granskog med inslag av tall. Arten är placerad högst upp i Skogsstyrelsens värdepyramid för bedömning av skog med höga naturvärden och hotas av slutavverkning, markberedning och en generell minskning av andelen gamla träd i våra skogar. Kejsarskivlingen är globalt rödlistad som nära hotad (NT) vilket innebär att Sverige har ett internationellt ansvar för arten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Luddfingersvamp (NT)</w:t>
      </w:r>
      <w:r>
        <w:t xml:space="preserve"> påträffas på mineralrik mark i granskog med mycket hög luftfuktighet, t.ex. vid källflöden, fuktdråg, bäckar eller i anslutning till vattenfall och forsdimma. Arten är mycket uttorkningskänslig och kräver granskogsmiljöer med konstant mycket hög luftfuktighet. Den tål inte en slutavverkning eller någon form av dränering som påverkar växtplatsens hydrologi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 xml:space="preserve">Skäggvaxskivling (VU) </w:t>
      </w:r>
      <w:r>
        <w:t>bildar mykorrhiza med gran i äldre ängs- och blåbärsgranskog på kalkrik mark. De gamla, orörda skogarnas tillbakagång innebär att arten missgynnas och många växtplatser riskerar att utplånas av skogsbruksåtgärder. På lokaler med känd förekomst bör avverkning helt undvikas eller bedrivas i form av plockhuggning eller blädning. Arten bör eftersökas i äldre barrskog i Norrland (SLU Artdatabanken, 2024).</w:t>
      </w:r>
    </w:p>
    <w:p>
      <w:r>
        <w:rPr>
          <w:b/>
        </w:rPr>
        <w:t xml:space="preserve">Småflikig brosklav (NT) </w:t>
      </w:r>
      <w:r>
        <w:t>signalerar i hela sitt utbredningsområde skogsbestånd med höga naturvärden. Den indikerar hög luftfuktighet och långvarig förekomst av asp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 xml:space="preserve">Taggfingersvamp (VU) </w:t>
      </w:r>
      <w:r>
        <w:t>är knuten till granskogar med långvarig kontinuitet och bildar mykorrhiza med gran på rikare mark. Den totala populationen i landet bedöms ha minskat kraftigt och fortgående att minska, huvudsakligen p.g.a. att arealen örtrik äldre granskog har minskat de senaste 50 åren. Den hotas främst av skogsavverkning och tycks försvinna efter slutavverkning, markberedning och plantering och det saknas uppgifter om fynd i planterad skog eller sekundär granskog uppkommen på kalmark. Taggfingersvamp är placerad högst upp i Skogsstyrelsens värdepyramid för bedömning av skog med höga naturvärden. Områdesskydd är en viktig åtgärd för att bevara artens förekomster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33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33 naturvårdsarter varav 24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