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50126-2024 i Östersunds kommun</w:t>
      </w:r>
    </w:p>
    <w:p>
      <w:r>
        <w:t>Detta dokument behandlar höga naturvärden i avverkningsanmälan A 50126-2024 i Östersunds kommun. Denna avverkningsanmälan inkom 2024-11-04 00:00:00 och omfattar 2,6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19 naturvårdsarter hittats: gräddporing (VU), knärot (VU, §8), sprickporing (VU), garnlav (NT), granticka (NT), gränsticka (NT), kolflarnlav (NT), lunglav (NT), rosenticka (NT), skrovellav (NT), spillkråka (NT, §4), talltita (NT, §4), tretåig hackspett (NT, §4), ullticka (NT), vedtrappmossa (NT), vitgrynig nållav (NT), luddlav (S), stuplav (S) och vedticka (S). Av dessa är 16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24589"/>
            <wp:docPr id="1" name="Picture 1"/>
            <wp:cNvGraphicFramePr>
              <a:graphicFrameLocks noChangeAspect="1"/>
            </wp:cNvGraphicFramePr>
            <a:graphic>
              <a:graphicData uri="http://schemas.openxmlformats.org/drawingml/2006/picture">
                <pic:pic>
                  <pic:nvPicPr>
                    <pic:cNvPr id="0" name="A 50126-2024 karta.png"/>
                    <pic:cNvPicPr/>
                  </pic:nvPicPr>
                  <pic:blipFill>
                    <a:blip r:embed="rId16"/>
                    <a:stretch>
                      <a:fillRect/>
                    </a:stretch>
                  </pic:blipFill>
                  <pic:spPr>
                    <a:xfrm>
                      <a:off x="0" y="0"/>
                      <a:ext cx="5486400" cy="512458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7001746, E 510405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Gräddporing (VU)</w:t>
      </w:r>
      <w:r>
        <w:t xml:space="preserve"> växer nästan enbart i urskogsartad barrskog på gamla, kraftigt murkna, grova och mossbelupna tallågor i något fuktiga och skuggiga lägen. Arten är placerad högst upp i Skogsstyrelsens värdepyramid för bedömning av skog med höga naturvärden och indikerar gamla och relativt orörda tallnaturskogar med höga naturvärden där det under låg tid kontinuerligt funnits inslag av grova tallågor. För att på sikt hejda artens vikande trend behöver merparten av gräddporingens nu kända växtplatser undantas från skogsbruk (SLU Artdatabanken, 2024; Nitare &amp; Skogsstyrelsen, 2019).</w:t>
      </w:r>
    </w:p>
    <w:p>
      <w:r>
        <w:rPr>
          <w:b/>
        </w:rPr>
        <w:t>Gränsticka (NT)</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Lokaler som hyser arten, speciellt i mellersta och södra Sverige, bör undantas från skogsbruk (SLU Artdatabanken, 2024; Nitare &amp; Skogsstyrelsen, 2019).</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r>
        <w:rPr>
          <w:b/>
        </w:rPr>
        <w:t>Sprickporing (VU)</w:t>
      </w:r>
      <w:r>
        <w:t>, rödlistad som sårbar, är en sällsynt art som växer på senvuxen gran i lågproduktiva miljöer, ett substrat som nybildas i mycket liten skala i modern produktionsskog. Arten bedöms ha minskat kraftigt, med mer än 30 % över de senaste 20 åren, huvudsakligen på grund av slutavverkningar. I bestånd där arten förekommer måste skogsbruk undvikas. Fler av artens lokaler bör skyddas (SLU Artdatabanken, 2024).</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 xml:space="preserve">Vedtrappmossa (NT) </w:t>
      </w:r>
      <w:r>
        <w:t>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(SLU Artdatabanken, 2024).</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pPr>
        <w:pStyle w:val="Heading1"/>
      </w:pPr>
      <w:r>
        <w:t>Fridlysta arter</w:t>
      </w:r>
    </w:p>
    <w:p>
      <w:r>
        <w:t>Följande fridlysta arter har sina livsmiljöer och växtplatser i den avverkningsanmälda skogen: knärot (VU, §8), spillkråka (NT, §4), talltita (NT, §4)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rödlistan(SLU Artdatabanken, 2024).</w:t>
      </w:r>
    </w:p>
    <w:p>
      <w:r>
        <w:t>I det avverkningsanmälda området finns 4 fyndplatser för knärot registrerade på Artportalen. Figur 2 visar gränserna för buffertzoner på 50 m, som behöver lämnas kring fyndplatserna för att knärotslokalerna inte ska försvinna vid en avverkning. Av det avverkningsanmälda området överlappar 1.45 ha med buffertzonerna och får av detta skäl inte avverkas.</w:t>
      </w:r>
    </w:p>
    <w:p>
      <w:pPr>
        <w:pStyle w:val="Caption"/>
      </w:pPr>
      <w:r>
        <w:drawing>
          <wp:inline xmlns:a="http://schemas.openxmlformats.org/drawingml/2006/main" xmlns:pic="http://schemas.openxmlformats.org/drawingml/2006/picture">
            <wp:extent cx="5486400" cy="6456605"/>
            <wp:docPr id="2" name="Picture 2"/>
            <wp:cNvGraphicFramePr>
              <a:graphicFrameLocks noChangeAspect="1"/>
            </wp:cNvGraphicFramePr>
            <a:graphic>
              <a:graphicData uri="http://schemas.openxmlformats.org/drawingml/2006/picture">
                <pic:pic>
                  <pic:nvPicPr>
                    <pic:cNvPr id="0" name="A 50126-2024 karta knärot.png"/>
                    <pic:cNvPicPr/>
                  </pic:nvPicPr>
                  <pic:blipFill>
                    <a:blip r:embed="rId17"/>
                    <a:stretch>
                      <a:fillRect/>
                    </a:stretch>
                  </pic:blipFill>
                  <pic:spPr>
                    <a:xfrm>
                      <a:off x="0" y="0"/>
                      <a:ext cx="5486400" cy="6456605"/>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7001746, E 510405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19 naturvårdsarter varav 16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2025-09-28</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