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39568-2022 i Östersunds kommun</w:t>
      </w:r>
    </w:p>
    <w:p>
      <w:r>
        <w:t>Detta dokument behandlar höga naturvärden i avverkningsanmälan A 39568-2022 i Östersunds kommun. Denna avverkningsanmälan inkom 2022-09-13 och omfattar 10,0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15 naturvårdsarter hittats: trolldruvemätare (EN), knärot (VU, §8), skogsfru (NT, §8), tretåig hackspett (NT, §4), finbräken (S), guckusko (S, §7), kransrams (S), spindelblomster (S, §8), svart trolldruva (S), trådfräken (S), tvåblad (S, §8), ögonpyrola (S), fläcknycklar (§8), blåsippa (§9) och revlummer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64215"/>
            <wp:docPr id="1" name="Picture 1"/>
            <wp:cNvGraphicFramePr>
              <a:graphicFrameLocks noChangeAspect="1"/>
            </wp:cNvGraphicFramePr>
            <a:graphic>
              <a:graphicData uri="http://schemas.openxmlformats.org/drawingml/2006/picture">
                <pic:pic>
                  <pic:nvPicPr>
                    <pic:cNvPr id="0" name="A 39568-2022 karta.png"/>
                    <pic:cNvPicPr/>
                  </pic:nvPicPr>
                  <pic:blipFill>
                    <a:blip r:embed="rId16"/>
                    <a:stretch>
                      <a:fillRect/>
                    </a:stretch>
                  </pic:blipFill>
                  <pic:spPr>
                    <a:xfrm>
                      <a:off x="0" y="0"/>
                      <a:ext cx="5486400" cy="60642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7022939, E 492468 i SWEREF 99 TM.</w:t>
      </w:r>
    </w:p>
    <w:p>
      <w:pPr>
        <w:pStyle w:val="Heading1"/>
      </w:pPr>
      <w:r>
        <w:t>Fridlysta arter</w:t>
      </w:r>
    </w:p>
    <w:p>
      <w:r>
        <w:t>Följande fridlysta arter har sina livsmiljöer och växtplatser i den avverkningsanmälda skogen: knärot (VU, §8), skogsfru (NT, §8), tretåig hackspett (NT, §4), guckusko (S, §7), spindelblomster (S, §8), tvåblad (S, §8), fläcknycklar (§8), blåsippa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Sverige hyser mer än halva den beräknade populationen av arten i EU, vilket innebär att vi har ett internationellt ansvar för arten (SLU Artdatabanken, 2021).</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0.72 ha med buffertzonerna och får av detta skäl inte avverkas.</w:t>
      </w:r>
    </w:p>
    <w:p>
      <w:pPr>
        <w:pStyle w:val="Caption"/>
      </w:pPr>
      <w:r>
        <w:drawing>
          <wp:inline xmlns:a="http://schemas.openxmlformats.org/drawingml/2006/main" xmlns:pic="http://schemas.openxmlformats.org/drawingml/2006/picture">
            <wp:extent cx="5486400" cy="8019163"/>
            <wp:docPr id="2" name="Picture 2"/>
            <wp:cNvGraphicFramePr>
              <a:graphicFrameLocks noChangeAspect="1"/>
            </wp:cNvGraphicFramePr>
            <a:graphic>
              <a:graphicData uri="http://schemas.openxmlformats.org/drawingml/2006/picture">
                <pic:pic>
                  <pic:nvPicPr>
                    <pic:cNvPr id="0" name="A 39568-2022 karta knärot.png"/>
                    <pic:cNvPicPr/>
                  </pic:nvPicPr>
                  <pic:blipFill>
                    <a:blip r:embed="rId17"/>
                    <a:stretch>
                      <a:fillRect/>
                    </a:stretch>
                  </pic:blipFill>
                  <pic:spPr>
                    <a:xfrm>
                      <a:off x="0" y="0"/>
                      <a:ext cx="5486400" cy="8019163"/>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7022939, E 492468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Guckusko – ekologi samt krav på livsmiljön</w:t>
      </w:r>
    </w:p>
    <w:p>
      <w:r>
        <w:t xml:space="preserve">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(Artdatabanken, 2021).</w:t>
      </w:r>
    </w:p>
    <w:p>
      <w:pPr>
        <w:pStyle w:val="Heading2"/>
      </w:pPr>
      <w:r>
        <w:t>Referenser - guckusko</w:t>
      </w:r>
    </w:p>
    <w:p>
      <w:r>
        <w:t xml:space="preserve">SLU Artdatabanken, 2021.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