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60950-2019 i Östersunds kommun</w:t>
      </w:r>
    </w:p>
    <w:p>
      <w:r>
        <w:t>Detta dokument behandlar höga naturvärden i avverkningsanmälan A 60950-2019 i Östersunds kommun. Denna avverkningsanmälan inkom 2019-11-13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27 naturvårdsarter hittats: violett guldvinge (EN, §4a), borgsjömusseron (VU), fjällfotad fingersvamp (VU), fjällfotad musseron (VU), grangråticka (VU), kejsarskivling (VU), läderdoftande fingersvamp (VU), rynkskinn (VU), siljansspindling (VU), spricktaggsvamp (VU), svartfjällig musseron (VU), taggfingersvamp (VU), blek fingersvamp (NT), dofttaggsvamp (NT), druvfingersvamp (NT), flattoppad klubbsvamp (NT), gul taggsvamp (NT), gultoppig fingersvamp (NT), kungsspindling (NT), orange taggsvamp (NT), rosenticka (NT), rödbrun klubbdyna (NT), ullticka (NT), äggvaxskivling (NT), granriska (S), Ramaria neoformosa (S) och ögonpyrola (S).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60950-2019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6995750, E 485268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Druvfingersvamp (NT) </w:t>
      </w:r>
      <w:r>
        <w:t>växer i skogar med lång skoglig kontinuitet och uppträder gärna på ytor med tunna humuslager och blottad mineraljord, t.ex. i sluttningar eller i närheten av stigar. Den är placerad högst upp i Skogsstyrelsens värdepyramid för bedömning av skog med höga naturvärden och all form av skogsavverkning innebär hot. Arten tål inte en slutavverkning och lokalerna bör undantas från rationella skogsbruksmetoder och inkluderas i formellt skyddad skog. Druvfingersvampar utgör en liten grupp snarlika arter, vilka utgör ett artkomplex som är under utredning. Gruppen omfattar minst fem olika arter i Sverige, men tills vidare behandlas druvfingersvamp här i en klassisk kollektiv bemärkelse som en enda art (SLU Artdatabanken, 2024; Nitare &amp; Skogsstyrelsen, 2019).</w:t>
      </w:r>
    </w:p>
    <w:p>
      <w:r>
        <w:rPr>
          <w:b/>
        </w:rPr>
        <w:t xml:space="preserve">Fjällfotad fingersvamp (VU) </w:t>
      </w:r>
      <w:r>
        <w:t>är en mycket sällsynt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2024; IUCN, 2019;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Nitare &amp; Skogsstyrelsen, 2019).</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Siljansspindling (VU)</w:t>
      </w:r>
      <w:r>
        <w:t>, som bildar mykorrhiza med gran, möjligen också tall, i kalkbarrskog, är huvudsakligen knuten till äldre skog på kalkrik mark. Arten är placerad högst upp i Skogsstyrelsens värdepyramid för bedömning av skog med höga naturvärden och lokaler där arten finns bör undantas från skogsbruk. Den svenska och norska populationen utgör artens kärnområde i ett europeiskt perspektiv och arten är även globalt rödlistad som sårbar (VU) vilket innebär att Sverige har ett särskilt bevarandeansvar för arten (SLU Artdatabanken, 2024; Nitare &amp; Skogsstyrelsen, 2019; IUCN, 2019).</w:t>
      </w:r>
    </w:p>
    <w:p>
      <w:r>
        <w:rPr>
          <w:b/>
        </w:rPr>
        <w:t xml:space="preserve">Spricktaggsvamp (VU) </w:t>
      </w:r>
      <w:r>
        <w:t>är en sällsynt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violett guldvinge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