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89 naturvårdsarter hittats: bitter taggsvamp (VU), blyspindling agg. (VU), borsttagging (VU), doftmusseron (VU), fjällfotad musseron (VU), granrotsspindling (VU), klotsporig murkla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barkkornlav (S), barkticka (S),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rostfläck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50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Doftmusseron (VU)</w:t>
      </w:r>
      <w:r>
        <w:t xml:space="preserve"> bildar mykorrhiza med gran i äldre barrskog på moss- och kalkrik mark, gärna med gran på kalktallhed. Svampen avger en parfymliknande, sötaktig-fruktartad doft. Arten hotas av alla former av skogsbruksåtgärder, såsom slutavverkning, röjning, gallring, skogsmarksgödsling och körning med traktorer och skogsmaskiner. Arten är troligen uttorkningskänslig och kräver växtplatser med ett kontinuerligt fuktigt mikroklimat. Även slutavverkning eller kraftig gallring i intilliggande skog kan därför vara ett hot om det medför ökad genomblåsning och uttorkning. Skogsområden med arten bör skyddas och undantas från alla skogsbruksåtgärder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