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4226-2026 i Östersunds kommun</w:t>
      </w:r>
    </w:p>
    <w:p>
      <w:r>
        <w:t>Denna tillsynsbegäran behandlar höga naturvärden i avverkningsanmälan A 4226-2026 i Östersunds kommun som inkom 2026-01-22 och omfattar 2,1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4226-2026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6990998, E 485440 i SWEREF 99 TM.</w:t>
      </w:r>
    </w:p>
    <w:p>
      <w:r>
        <w:t>I och inom 7 meter från avverkningsanmälan finns fynd av 13 naturvårdsarter, varav 10 är rödlistade, 5 är typiska (T) och 3 är signalarter (S): fjällfotad fingersvamp (EN), fältgentiana (VU), garnlav (VU, T), gropig skägglav (VU), läderdoftande fingersvamp (VU), fjällig taggsvamp s.str. (NT), gultoppig fingersvamp (NT), svartvit taggsvamp (NT), vårärt (NT, T), äggvaxskivling (NT), finbräken (S, T), svart trolldruva (S,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Fjällfotad fingersvamp (EN) </w:t>
      </w:r>
      <w:r>
        <w:t>är en mycket sällsynt och starkt hotad ”toppart” som</w:t>
      </w:r>
      <w:r>
        <w:rPr>
          <w:b/>
        </w:rPr>
        <w:t xml:space="preserve"> </w:t>
      </w:r>
      <w:r>
        <w:t>bildar mykorrhiza med gran i kalkbarrskog. Då arten förekommer i en produktiv skogsmiljö med långvarig trädkontinuitet bedöms svampens totala population ha minskat kraftigt under senare tid som följd av skogsbruksåtgärder. Samtliga växtplatser bör erhålla ett långsiktigt formellt skydd. Fjällfotad fingersvamp</w:t>
      </w:r>
      <w:r>
        <w:rPr>
          <w:b/>
        </w:rPr>
        <w:t xml:space="preserve"> </w:t>
      </w:r>
      <w:r>
        <w:t>är placerad högst upp i Skogsstyrelsens värdepyramid för bedömning av skog med höga naturvärden och globalt rödlistad som nära hotad (NT) vilket innebär att Sverige har ett internationellt ansvar för arten (SLU Artdatabanken, 2026; IUCN, 2019;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vårärt (NT, T), finbräken (S, T), svart trolldruva (S, T) och underviol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