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44489-2024 i Östersunds kommun</w:t>
      </w:r>
    </w:p>
    <w:p>
      <w:r>
        <w:t>Denna tillsynsbegäran behandlar höga naturvärden i avverkningsanmälan A 44489-2024 i Östersunds kommun som inkom 2024-10-09 och omfattar 2,7 ha.</w:t>
      </w:r>
    </w:p>
    <w:p>
      <w:pPr>
        <w:pStyle w:val="Caption"/>
      </w:pPr>
      <w:r>
        <w:drawing>
          <wp:inline xmlns:a="http://schemas.openxmlformats.org/drawingml/2006/main" xmlns:pic="http://schemas.openxmlformats.org/drawingml/2006/picture">
            <wp:extent cx="4795571" cy="5724000"/>
            <wp:docPr id="1" name="Picture 1"/>
            <wp:cNvGraphicFramePr>
              <a:graphicFrameLocks noChangeAspect="1"/>
            </wp:cNvGraphicFramePr>
            <a:graphic>
              <a:graphicData uri="http://schemas.openxmlformats.org/drawingml/2006/picture">
                <pic:pic>
                  <pic:nvPicPr>
                    <pic:cNvPr id="0" name="A 44489-2024 karta.png"/>
                    <pic:cNvPicPr/>
                  </pic:nvPicPr>
                  <pic:blipFill>
                    <a:blip r:embed="rId16"/>
                    <a:stretch>
                      <a:fillRect/>
                    </a:stretch>
                  </pic:blipFill>
                  <pic:spPr>
                    <a:xfrm>
                      <a:off x="0" y="0"/>
                      <a:ext cx="479557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7007531, E 511500 i SWEREF 99 TM.</w:t>
      </w:r>
    </w:p>
    <w:p>
      <w:r>
        <w:t>I och inom 23 meter från avverkningsanmälan finns fynd av 10 naturvårdsarter, varav 2 är rödlistade, 3 är fridlysta, 6 är typiska (T) och 6 är signalarter (S): garnlav (VU, T), vedskivlav (NT, T), bronshjon (S, T), gräsull (S), korallrot (S, T, §8), norrlandslav (S, T), vågbandad barkbock (S), ögonpyrola (S, T),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vedskivlav (NT, T), bronshjon (S, T), korallrot (S, T, §8), norrlandslav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