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37096-2023 i Östersunds kommun</w:t>
      </w:r>
    </w:p>
    <w:p>
      <w:r>
        <w:t>Detta dokument behandlar höga naturvärden i avverkningsanmälan A 37096-2023 i Östersunds kommun. Denna avverkningsanmälan inkom 2023-08-17 00:00:00 och omfattar 70,6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45 naturvårdsarter hittats: fjällfotad musseron (VU), grantickeporing (VU), knärot (VU, §8), läderdoftande fingersvamp (VU), skäggvaxskivling (VU), smalskaftslav (VU), sprickporing (VU), ulltickeporing (VU), barrviolspindling (NT), blanksvart spiklav (NT), blågrå svartspik (NT), doftskinn (NT), flattoppad klubbsvamp (NT), garnlav (NT), granticka (NT), gultoppig fingersvamp (NT), knottrig blåslav (NT), luddfingersvamp (NT), lunglav (NT), nordlig nållav (NT), rödbrun klubbdyna (NT), skogsfru (NT, §8), spillkråka (NT, §4), tretåig hackspett (NT, §4), ullticka (NT), vedflamlav (NT), vitskaftad svartspik (NT), vitterspindling (NT), äggvaxskivling (NT), barrfagerspindling (S), dropptaggsvamp (S), finbräken (S), guckusko (S, §7), rödfläckig zontaggsvamp (S), skinnlav (S), skogsknipprot (S, §8), strimspindling (S), svavelriska (S), tallfingersvamp (S), trådticka (S), tvåblad (S, §8), skogsrör (§7), brudsporre (§8), fläcknycklar (§8) och ängsnycklar (§8). Av dessa är 29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4403"/>
            <wp:docPr id="1" name="Picture 1"/>
            <wp:cNvGraphicFramePr>
              <a:graphicFrameLocks noChangeAspect="1"/>
            </wp:cNvGraphicFramePr>
            <a:graphic>
              <a:graphicData uri="http://schemas.openxmlformats.org/drawingml/2006/picture">
                <pic:pic>
                  <pic:nvPicPr>
                    <pic:cNvPr id="0" name="A 37096-2023 karta.png"/>
                    <pic:cNvPicPr/>
                  </pic:nvPicPr>
                  <pic:blipFill>
                    <a:blip r:embed="rId16"/>
                    <a:stretch>
                      <a:fillRect/>
                    </a:stretch>
                  </pic:blipFill>
                  <pic:spPr>
                    <a:xfrm>
                      <a:off x="0" y="0"/>
                      <a:ext cx="5486400" cy="41944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7034258, E 477742 i SWEREF 99 TM.</w:t>
      </w:r>
    </w:p>
    <w:p>
      <w:r>
        <w:rPr>
          <w:b/>
        </w:rPr>
        <w:t>Barrviolspindling (NT)</w:t>
      </w:r>
      <w:r>
        <w:t xml:space="preserve"> bildar mykorrhiza med gran, huvudsakligen i örtrika kalkpåverkade äldre granskogar. Arten är sannolikt uttorkningskänslig och knuten till granskogar med långvarig grankontinuitet. Den hotas främst av skogsavverkning och tycks försvinna efter slutavverkning, markberedning och plantering. Minskningstakten uppgår till 15 % inom 50 år och bedöms vara nära gränsvärdet för Sårbar (VU). (A2c+3c+4c) (SLU Artdatabanken, 2024; Nitare &amp; Skogsstyrelsen, 2019).</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(Nitare &amp; Skogsstyrelsen, 2019).</w:t>
      </w:r>
    </w:p>
    <w:p>
      <w:r>
        <w:rPr>
          <w:b/>
        </w:rPr>
        <w:t>Fjällfotad musseron (VU)</w:t>
      </w:r>
      <w:r>
        <w:t xml:space="preserve"> bildar mykorrhiza med gran i äldre barrskog på kalkrik mark. Arten är en god indikator på en skyddsvärd miljö och platser där den förekommer bör därför undantas från storskaligt skogsbruk (SLU Artdatabanken, 2024; Nitare &amp; Skogsstyrelsen, 2019).</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Grantickeporing (VU)</w:t>
      </w:r>
      <w:r>
        <w:t xml:space="preserve"> växer på murken ved och döda fruktkroppar av granticka (NT) och gränsticka (NT). Den förekommer i naturskogsliknade granskogar, gärna i fuktiga miljöer vid källbäckar och liknande. Avverkning av naturskogslika miljöer och av grova granar där grantickeporing förekommer är ett direkt hot mot artens fortlevnad. Gamla granskogar som hyser arten undantas helt från skogsbruk (SLU Artdatabanken, 2024).</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Luddfingersvamp (NT)</w:t>
      </w:r>
      <w:r>
        <w:t xml:space="preserve"> påträffas på mineralrik mark i granskog med mycket hög luftfuktighet, t.ex. vid källflöden, fuktdråg, bäckar eller i anslutning till vattenfall och forsdimma. Arten är mycket uttorkningskänslig och kräver granskogsmiljöer med konstant mycket hög luftfuktighet. Den tål inte en slutavverkning eller någon form av dränering som påverkar växtplatsens hydrologi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Nordlig nållav (NT)</w:t>
      </w:r>
      <w:r>
        <w:t xml:space="preserve"> signalerar alltid miljöer med höga naturvärden. På lokalerna förekommer nästan alltid andra rödlistade eller ovanliga arter knutna till gamla skogar. Alla skogsskötselåtgärder på eller i omedelbar närhet av lokalerna utgör ett hot. Några av lavens rikaste förekomster bör skyddas (SLU Artdatabanken, 2024; Nitare &amp; Skogsstyrelsen, 2019).</w:t>
      </w:r>
    </w:p>
    <w:p>
      <w:r>
        <w:rPr>
          <w:b/>
        </w:rPr>
        <w:t>Rödbrun klubbdyna (NT)</w:t>
      </w:r>
      <w:r>
        <w:t xml:space="preserve"> är placerad högst upp i Skogsstyrelsens värdepyramid för bedömning av skog med höga naturvärden och indikerar örtrika kalkgranskogar med höga eller mycket höga naturvärden. All form av skogsavverkning eller annan exploatering utgör ett hot och artens växtplatser bör skyddas och lämnas orörda så att en mossrik granskogsmiljö bibehålls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 xml:space="preserve">Skäggvaxskivling (VU) </w:t>
      </w:r>
      <w:r>
        <w:t>bildar mykorrhiza med gran i äldre ängs- och blåbärsgranskog på kalkrik mark. De gamla, orörda skogarnas tillbakagång innebär att arten missgynnas och många växtplatser riskerar att utplånas av skogsbruksåtgärder. På lokaler med känd förekomst bör avverkning helt undvikas eller bedrivas i form av plockhuggning eller blädning. Arten bör eftersökas i äldre barrskog i Norrland (SLU Artdatabanken, 2024).</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 xml:space="preserve">Tallfingersvamp </w:t>
      </w:r>
      <w:r>
        <w:t>bildar mykorrhiza med tall och gran i barrskog, framför allt sandtallskog men även i annan näringsfattig barrskog. Arten är en av landets vanligaste korallfingersvampar i äldre barrskog. Trots detta är den troligen minskande då den i huvudsak är knuten till äldre skog, främst kontinuitetsbarrskogar. Slutavverkning, gödsling eller exploatering måste undvikas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knärot (VU, §8), skogsfru (NT, §8), spillkråka (NT, §4), tretåig hackspett (NT, §4), guckusko (S, §7), skogsknipprot (S, §8), tvåblad (S, §8), skogsrör (§7), brudsporre (§8), fläcknycklar (§8) och ängsnycklar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1.96 ha med buffertzonerna och får av detta skäl inte avverkas.</w:t>
      </w:r>
    </w:p>
    <w:p>
      <w:pPr>
        <w:pStyle w:val="Caption"/>
      </w:pPr>
      <w:r>
        <w:drawing>
          <wp:inline xmlns:a="http://schemas.openxmlformats.org/drawingml/2006/main" xmlns:pic="http://schemas.openxmlformats.org/drawingml/2006/picture">
            <wp:extent cx="5486400" cy="6952481"/>
            <wp:docPr id="2" name="Picture 2"/>
            <wp:cNvGraphicFramePr>
              <a:graphicFrameLocks noChangeAspect="1"/>
            </wp:cNvGraphicFramePr>
            <a:graphic>
              <a:graphicData uri="http://schemas.openxmlformats.org/drawingml/2006/picture">
                <pic:pic>
                  <pic:nvPicPr>
                    <pic:cNvPr id="0" name="A 37096-2023 karta knärot.png"/>
                    <pic:cNvPicPr/>
                  </pic:nvPicPr>
                  <pic:blipFill>
                    <a:blip r:embed="rId17"/>
                    <a:stretch>
                      <a:fillRect/>
                    </a:stretch>
                  </pic:blipFill>
                  <pic:spPr>
                    <a:xfrm>
                      <a:off x="0" y="0"/>
                      <a:ext cx="5486400" cy="695248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7034258, E 477742 i SWEREF 99 TM.</w:t>
      </w:r>
    </w:p>
    <w:p>
      <w:pPr>
        <w:pStyle w:val="Caption"/>
      </w:pPr>
    </w:p>
    <w:p>
      <w:r>
        <w:rPr>
          <w:b/>
        </w:rPr>
        <w:t>Skogsfru (NT, §8)</w:t>
      </w:r>
      <w:r>
        <w:t xml:space="preserve"> växer i fuktig, skuggig skog med rörligt markvatten och god förnaproduktion. Den är placerad högst upp i Skogsstyrelsens värdepyramid för bedömning av skog med höga naturvärden och fridlyst enligt 8 § artskyddsförordningen. Slutavverkning utan hänsyn, markberedning och skyddsdikning utgör de allvarligaste hoten mot arten (SLU Artdatabanken, 2024).</w:t>
      </w:r>
    </w:p>
    <w:p>
      <w:r>
        <w:rPr>
          <w:b/>
        </w:rPr>
        <w:t>Skogsrör (§7)</w:t>
      </w:r>
      <w:r>
        <w:t xml:space="preserve"> är strikt skyddad enligt EU:s art- och habitatdirektiv och fridlyst enligt §7 Artskyddsförordningen (bilaga 1) vilket innebär att hela dess livsmiljö ska bevaras. Arten är en svensk-norsk endem som förekommer sparsamt till sällsynt i mellersta Norrland, i såväl lågland som fjällnära delar. Den är något kalkgynnad och växer i fuktiga-friska, gärna sluttande och rika skogar, både gran-, bland och björkskogar, i myrkanter samt längs vattendrag och raviner. Skogsrör är känslig för dränering och på dikade lokaler bör hydrologin återställas (SLU Artdatabanken, 2024).</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