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44443-2024 i Nordmalings kommun</w:t>
      </w:r>
    </w:p>
    <w:p>
      <w:r>
        <w:t>Denna tillsynsbegäran behandlar höga naturvärden i avverkningsanmälan A 44443-2024 i Nordmalings kommun som inkom 2024-10-09 och omfattar 1,5 ha.</w:t>
      </w:r>
    </w:p>
    <w:p>
      <w:pPr>
        <w:pStyle w:val="Caption"/>
      </w:pPr>
      <w:r>
        <w:drawing>
          <wp:inline xmlns:a="http://schemas.openxmlformats.org/drawingml/2006/main" xmlns:pic="http://schemas.openxmlformats.org/drawingml/2006/picture">
            <wp:extent cx="5486400" cy="4928333"/>
            <wp:docPr id="1" name="Picture 1"/>
            <wp:cNvGraphicFramePr>
              <a:graphicFrameLocks noChangeAspect="1"/>
            </wp:cNvGraphicFramePr>
            <a:graphic>
              <a:graphicData uri="http://schemas.openxmlformats.org/drawingml/2006/picture">
                <pic:pic>
                  <pic:nvPicPr>
                    <pic:cNvPr id="0" name="A 44443-2024 karta.png"/>
                    <pic:cNvPicPr/>
                  </pic:nvPicPr>
                  <pic:blipFill>
                    <a:blip r:embed="rId16"/>
                    <a:stretch>
                      <a:fillRect/>
                    </a:stretch>
                  </pic:blipFill>
                  <pic:spPr>
                    <a:xfrm>
                      <a:off x="0" y="0"/>
                      <a:ext cx="5486400" cy="492833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7067859, E 705706 i SWEREF 99 TM.</w:t>
      </w:r>
    </w:p>
    <w:p>
      <w:r>
        <w:t>I och inom 11 meter från avverkningsanmälan finns fynd av 3 naturvårdsarter, varav 3 är rödlistade och 1 är typisk (T): skrovlig taggsvamp (VU), gammelgransskål (NT, T) och talltaggsvamp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