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30950-2026 i Nordmalings kommun</w:t>
      </w:r>
    </w:p>
    <w:p>
      <w:r>
        <w:t>Denna tillsynsbegäran behandlar höga naturvärden i avverkningsanmälan A 30950-2026 i Nordmalings kommun som inkom 2026-07-02 och omfattar 3,2 ha.</w:t>
      </w:r>
    </w:p>
    <w:p>
      <w:pPr>
        <w:pStyle w:val="Caption"/>
      </w:pPr>
      <w:r>
        <w:drawing>
          <wp:inline xmlns:a="http://schemas.openxmlformats.org/drawingml/2006/main" xmlns:pic="http://schemas.openxmlformats.org/drawingml/2006/picture">
            <wp:extent cx="5486400" cy="4926448"/>
            <wp:docPr id="1" name="Picture 1"/>
            <wp:cNvGraphicFramePr>
              <a:graphicFrameLocks noChangeAspect="1"/>
            </wp:cNvGraphicFramePr>
            <a:graphic>
              <a:graphicData uri="http://schemas.openxmlformats.org/drawingml/2006/picture">
                <pic:pic>
                  <pic:nvPicPr>
                    <pic:cNvPr id="0" name="A 30950-2026 karta.png"/>
                    <pic:cNvPicPr/>
                  </pic:nvPicPr>
                  <pic:blipFill>
                    <a:blip r:embed="rId16"/>
                    <a:stretch>
                      <a:fillRect/>
                    </a:stretch>
                  </pic:blipFill>
                  <pic:spPr>
                    <a:xfrm>
                      <a:off x="0" y="0"/>
                      <a:ext cx="5486400" cy="492644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7079731, E 715618 i SWEREF 99 TM.</w:t>
      </w:r>
    </w:p>
    <w:p>
      <w:r>
        <w:t>I och inom 25 meter från avverkningsanmälan finns fynd av 15 naturvårdsarter, varav 1 är rödlistad, 13 är typiska (T) och 10 är signalarter (S): småflikig brosklav (NT, T), bronshjon (S, T), mörk husmossa (S, T), stor aspticka (S, T), stuplav (S, T), thomsons trägnagare (S), tibast (S, T), underviol (S, T), vedticka (S, T), vågbandad barkbock (S), ögonpyrola (S, T), brudborste (T), hässlebrodd (T), liljekonvalj (T) och ormbär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Småflikig brosklav (NT) </w:t>
      </w:r>
      <w:r>
        <w:t xml:space="preserve">signalerar i hela sitt utbredningsområde skogsbestånd med höga naturvärden. Den indikerar hög luftfuktighet och långvarig förekomst av asp. Småflikig brosklav är typisk art för </w:t>
      </w:r>
      <w:r>
        <w:rPr>
          <w:i/>
        </w:rPr>
        <w:t>9010 Taiga</w:t>
      </w:r>
      <w:r>
        <w:t xml:space="preserve"> (Nitare &amp; Skogsstyrelsen, 2019;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Hässlebrodd</w:t>
      </w:r>
      <w:r>
        <w:t xml:space="preserve"> är typisk art för </w:t>
      </w:r>
      <w:r>
        <w:rPr>
          <w:i/>
        </w:rPr>
        <w:t xml:space="preserve">9040 Fjällbjörkskog </w:t>
      </w:r>
      <w:r>
        <w:t xml:space="preserve">och </w:t>
      </w:r>
      <w:r>
        <w:rPr>
          <w:i/>
        </w:rPr>
        <w:t xml:space="preserve">1610 Åsöar i Östersjön </w:t>
      </w:r>
      <w:r>
        <w:t>(SLU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Ormbär</w:t>
      </w:r>
      <w:r>
        <w:t xml:space="preserve"> är typisk art för </w:t>
      </w:r>
      <w:r>
        <w:rPr>
          <w:i/>
        </w:rPr>
        <w:t xml:space="preserve">9050 Näringsrik granskog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småflikig brosklav (NT, T), bronshjon (S, T), mörk husmossa (S, T), stor aspticka (S, T), stuplav (S, T), tibast (S, T), underviol (S, T), vedticka (S, T), ögonpyrola (S, T), brudborste (T), hässlebrodd (T), liljekonvalj (T) och ormbär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