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65044-2023 i Nordmalings kommun</w:t>
      </w:r>
    </w:p>
    <w:p>
      <w:r>
        <w:t>Detta klagomål behandlar höga naturvärden i avverkningsanmälan A 65044-2023 i Nordmalings kommun som inkom 2023-12-23 och omfattar 15,4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65044-2023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7056882, E 722205 i SWEREF 99 TM.</w:t>
      </w:r>
    </w:p>
    <w:p>
      <w:r>
        <w:t>I och inom 18 meter från avverkningsanmälan finns fynd av 17 naturvårdsarter, varav 4 är rödlistade, 4 är fridlysta, 13 är typiska (T) och 7 är signalarter (S): grönhjon (NT), mindre hackspett (NT, T, §4), talltita (NT, §4), vitgrynig nållav (NT), bågpraktmossa (S, T), gulnål (S, T), källpraktmossa (S, T), kärrkammossa (S, T), nästlav (S, T), stubbspretmossa (S, T), svart trolldruva (S, T), ekorrbär (T), källgräsmossa (T), linnea (T), ormbär (T), spillkråka (T, §4) och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Ekorrbär </w:t>
      </w:r>
      <w:r>
        <w:t xml:space="preserve">är typisk art för </w:t>
      </w:r>
      <w:r>
        <w:rPr>
          <w:i/>
        </w:rPr>
        <w:t xml:space="preserve">9190 Näringsfattig ekskog </w:t>
      </w:r>
      <w:r>
        <w:t>(SLU Artdatabanken, 2025).</w:t>
      </w:r>
    </w:p>
    <w:p>
      <w:r>
        <w:rPr>
          <w:b/>
        </w:rPr>
        <w:t>Källgräsmossa</w:t>
      </w:r>
      <w:r>
        <w:t xml:space="preserve"> är typisk art för </w:t>
      </w:r>
      <w:r>
        <w:rPr>
          <w:i/>
        </w:rPr>
        <w:t xml:space="preserve">7160 Källor och källkärr, 9750 Svämlövskog </w:t>
      </w:r>
      <w:r>
        <w:t>och</w:t>
      </w:r>
      <w:r>
        <w:rPr>
          <w:i/>
        </w:rPr>
        <w:t xml:space="preserve"> 9080 Lövsumpskog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