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37547-2023 i Nordmalings kommun</w:t>
      </w:r>
    </w:p>
    <w:p>
      <w:r>
        <w:t>Detta klagomål behandlar höga naturvärden i avverkningsanmälan A 37547-2023 i Nordmalings kommun som inkom 2023-08-20 och omfattar 4,2 ha.</w:t>
      </w:r>
    </w:p>
    <w:p>
      <w:pPr>
        <w:pStyle w:val="Caption"/>
      </w:pPr>
      <w:r>
        <w:drawing>
          <wp:inline xmlns:a="http://schemas.openxmlformats.org/drawingml/2006/main" xmlns:pic="http://schemas.openxmlformats.org/drawingml/2006/picture">
            <wp:extent cx="5486400" cy="4634217"/>
            <wp:docPr id="1" name="Picture 1"/>
            <wp:cNvGraphicFramePr>
              <a:graphicFrameLocks noChangeAspect="1"/>
            </wp:cNvGraphicFramePr>
            <a:graphic>
              <a:graphicData uri="http://schemas.openxmlformats.org/drawingml/2006/picture">
                <pic:pic>
                  <pic:nvPicPr>
                    <pic:cNvPr id="0" name="A 37547-2023 karta.png"/>
                    <pic:cNvPicPr/>
                  </pic:nvPicPr>
                  <pic:blipFill>
                    <a:blip r:embed="rId16"/>
                    <a:stretch>
                      <a:fillRect/>
                    </a:stretch>
                  </pic:blipFill>
                  <pic:spPr>
                    <a:xfrm>
                      <a:off x="0" y="0"/>
                      <a:ext cx="5486400" cy="46342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7082908, E 713919 i SWEREF 99 TM.</w:t>
      </w:r>
    </w:p>
    <w:p>
      <w:r>
        <w:t>I avverkningsanmälan finns fynd av 6 naturvårdsarter, varav 5 är rödlistade, 3 är typiska (T) och 1 är signalart (S): garnlav (VU, T), dropptaggsvamp (NT, T), orange taggsvamp (NT, T), svartvit taggsvamp (NT), tjockfotad fingersvamp (NT)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