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och inom 25 meter från avverkningsanmälan finns fynd av 8 naturvårdsarter, varav 4 är rödlistade, 3 är fridlysta, 5 är typiska (T) och 3 är signalarter (S): björktrast (NT, §4), flikbålmossa (NT), grönsångare (NT, §4), mindre hackspett (NT, T, §4), bågpraktmossa (S, T), skogshakmossa (S, T), stubbspretmossa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