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25 meter från samrådsanmälan finns fynd av 16 naturvårdsarter, varav 2 är rödlistade, 3 är fridlysta, 14 är typiska (T) och 6 är signalarter (S): grönsångare (NT, §4), tallticka (NT, T), bågpraktmossa (S, T), källpraktmossa (S, T), rostfläck (S, T), skogshakmossa (S, T), stubbspretmossa (S, T), tibast (S, T), blåsippa (T, §9), ekorrbär (T), hässlebrodd (T), krushättemossa (T), liljekonvalj (T), ormbär (T), svarta vinbär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bågpraktmossa (S, T), källpraktmossa (S, T), rostfläck (S, T), skogshakmossa (S, T), stubbspretmossa (S, T), tibast (S, T), blåsippa (T, §9), ekorrbär (T), hässlebrodd (T), krushättemossa (T), liljekonvalj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