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24051-2021 i Nordmalings kommun</w:t>
      </w:r>
    </w:p>
    <w:p>
      <w:r>
        <w:t>Detta dokument behandlar höga naturvärden i avverkningsanmälan A 24051-2021 i Nordmalings kommun. Denna avverkningsanmälan inkom 2021-05-19 00:00:00 och omfattar 2,6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trådbrosklav (EN), rynkskinn (VU), ulltickeporing (VU), garnlav (NT), järpe (NT, §4), rosenticka (NT), tretåig hackspett (NT, §4) och ullticka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2655"/>
            <wp:docPr id="1" name="Picture 1"/>
            <wp:cNvGraphicFramePr>
              <a:graphicFrameLocks noChangeAspect="1"/>
            </wp:cNvGraphicFramePr>
            <a:graphic>
              <a:graphicData uri="http://schemas.openxmlformats.org/drawingml/2006/picture">
                <pic:pic>
                  <pic:nvPicPr>
                    <pic:cNvPr id="0" name="A 24051-2021 karta.png"/>
                    <pic:cNvPicPr/>
                  </pic:nvPicPr>
                  <pic:blipFill>
                    <a:blip r:embed="rId16"/>
                    <a:stretch>
                      <a:fillRect/>
                    </a:stretch>
                  </pic:blipFill>
                  <pic:spPr>
                    <a:xfrm>
                      <a:off x="0" y="0"/>
                      <a:ext cx="5486400" cy="36526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7070384, E 727440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Trådbrosklav (EN)</w:t>
      </w:r>
      <w:r>
        <w:t xml:space="preserve"> är rödlistad som starkt hotad och förekommer huvudsakligen i brandrefugier med hög luftfuktighet som bäckraviner, bäckdråg och gransumpskogar. Eftersom arten huvudsakligen är knuten till produktiva gamla granbestånd är avverkningshotet stort och minskningstakten pågår och förväntas uppgå till 50 (40–70) % inom 50 år. Den är placerad högst upp i Skogsstyrelsens värdepyramid för bedömning av skog med höga naturvärden och skog där trådbrosklav förekommer bör helt undantas från skogsbruksåtgärder. Det är väsentligt att tillräckligt stora bestånd och breda kantzoner avsätts eftersom arten är känslig för uttorkning. Samtliga rika förekomster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järpe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