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19667-2022 i Nordmalings kommun</w:t>
      </w:r>
    </w:p>
    <w:p>
      <w:r>
        <w:t>Detta dokument behandlar höga naturvärden i avverkningsanmälan A 19667-2022 i Nordmalings kommun. Denna avverkningsanmälan inkom 2022-05-13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mustaschfladdermus (§4a) och tajgafladdermus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9667-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7077537, E 696564 i SWEREF 99 TM.</w:t>
      </w:r>
    </w:p>
    <w:p>
      <w:pPr>
        <w:pStyle w:val="Heading1"/>
      </w:pPr>
      <w:r>
        <w:t>Fridlysta arter</w:t>
      </w:r>
    </w:p>
    <w:p>
      <w:r>
        <w:t>Följande fridlysta arter har sina livsmiljöer och växtplatser i den avverkningsanmälda skogen: mustaschfladdermus (§4a) och tajgafladdermus (§4a).</w:t>
      </w:r>
    </w:p>
    <w:p>
      <w:r>
        <w:rPr>
          <w:b/>
        </w:rPr>
        <w:t>Mustaschfladdermus (§4a)</w:t>
      </w:r>
      <w:r>
        <w:t xml:space="preserve"> omfattas av bilaga 4 EU:s art- och habitatdirektiv vilket innebär ett strikt skydd för arten och dess livsmiljöer. Den födosöker i barr- och lövskog och jagar ofta i sumpskogar och blöta skogar. Under den ljusa delen av året, dvs. under kolonitiden, rör sig mustaschfladdermusen inom ett mycket litet område, oftast max 1 km från kolonin och undviker att flyga i öppna områden. Den jagar både nära marken och uppe i trädkronorna. I ett varierat landskap med hög andel äldre lövträd, småvatten, sumpskogar, öppna våtmarker, ängar och betesmarker avlöser olika insektsgrupper varandra vilket gör att det hela tiden finns tillräckligt med föda. För mustaschfladdermusen är det särskilt värdefullt att bevara eller skapa sumpskogar och andra blöta skogar med många ihåliga träd (SLU Artdatabanken, 2024).</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