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och inom 25 meter från avverkningsanmälan finns fynd av 8 naturvårdsarter, varav 4 är rödlistade, 3 är fridlysta, 5 är typiska (T) och 3 är signalarter (S): björktrast (NT, §4), flikbålmossa (NT), grönsångare (NT, §4), mindre hackspett (NT, T, §4), bågpraktmossa (S, T), skogshakmossa (S, T), stubbspretmossa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bågpraktmossa (S, T), skogshakmossa (S, T), stubbspretmossa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