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36810-2025 i Nordmalings kommun</w:t>
      </w:r>
    </w:p>
    <w:p>
      <w:r>
        <w:t>Detta klagomål behandlar höga naturvärden i avverkningsanmälan A 36810-2025 i Nordmalings kommun som inkom 2025-08-04 och omfattar 1,3 ha.</w:t>
      </w:r>
    </w:p>
    <w:p>
      <w:pPr>
        <w:pStyle w:val="Caption"/>
      </w:pPr>
      <w:r>
        <w:drawing>
          <wp:inline xmlns:a="http://schemas.openxmlformats.org/drawingml/2006/main" xmlns:pic="http://schemas.openxmlformats.org/drawingml/2006/picture">
            <wp:extent cx="5486400" cy="5180215"/>
            <wp:docPr id="1" name="Picture 1"/>
            <wp:cNvGraphicFramePr>
              <a:graphicFrameLocks noChangeAspect="1"/>
            </wp:cNvGraphicFramePr>
            <a:graphic>
              <a:graphicData uri="http://schemas.openxmlformats.org/drawingml/2006/picture">
                <pic:pic>
                  <pic:nvPicPr>
                    <pic:cNvPr id="0" name="A 36810-2025 karta.png"/>
                    <pic:cNvPicPr/>
                  </pic:nvPicPr>
                  <pic:blipFill>
                    <a:blip r:embed="rId16"/>
                    <a:stretch>
                      <a:fillRect/>
                    </a:stretch>
                  </pic:blipFill>
                  <pic:spPr>
                    <a:xfrm>
                      <a:off x="0" y="0"/>
                      <a:ext cx="5486400" cy="5180215"/>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7073686, E 727764 i SWEREF 99 TM.</w:t>
      </w:r>
    </w:p>
    <w:p>
      <w:r>
        <w:t>I och inom 16 meter från avverkningsanmälan finns fynd av 4 naturvårdsarter, varav 3 är rödlistade, 3 är typiska (T) och 1 är signalart (S): garnlav (VU, T), goliatmusseron (VU, T), rotfingersvamp (VU) och granbarkgnagare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Goliatmusseron (VU)</w:t>
      </w:r>
      <w:r>
        <w:t xml:space="preserve"> är en mykorrhizasvamp knuten till gammal tall på sandig eller grusig mark, främst ljusöppna torra lavtallhedar där svampen växer bland renlavar och lingon. Mager, sandig och brandpräglad tallskog med lång trädkontinuitet bör undantas från trakthyggesbruk och inte kalavverkas. Goliatmusseron är placerad högst upp i Skogsstyrelsens värdepyramid för bedömning av skog med höga naturvärden och den är globalt rödlistad som sårbar (VU) vilket innebär att Sverige har ett internationellt ansvar för arten. Goliatmusseron är typisk art för </w:t>
      </w:r>
      <w:r>
        <w:rPr>
          <w:i/>
        </w:rPr>
        <w:t>9010 Taiga</w:t>
      </w:r>
      <w:r>
        <w:t xml:space="preserve"> (SLU Artdatabanken, 2024; Nitare &amp; Skogsstyrelsen, 2019; IUCN, 2020).</w:t>
      </w:r>
    </w:p>
    <w:p>
      <w:r>
        <w:rPr>
          <w:b/>
        </w:rPr>
        <w:t xml:space="preserve">Rotfingersvamp (VU) </w:t>
      </w:r>
      <w:r>
        <w:t>bildar mykorrhiza med tall, i tallskog på sandiga marker särskilt på åssluttningar. Huvudsakligen förekommer den i norra Sverige, i äldre icke kalavverkad kontinuitetsskog. Rotfingersvamp är placerad högst upp i Skogsstyrelsens värdepyramid för bedömning av skog med höga naturvärden och globalt rödlistad som nära hotad (NT) vilket innebär att Sverige har ett internationellt ansvar för arten. Områden med arten bör skyddas och undantas från rationellt skogsbruk och slutavverkning, kraftig gallring och skogsgödsling måste helt undvikas (IUCN, 2025; SLU Artdatabanken, 2024; Nitare &amp; Skogsstyrelsen, 2019).</w:t>
      </w:r>
    </w:p>
    <w:p>
      <w:r>
        <w:rPr>
          <w:b/>
        </w:rPr>
        <w:t xml:space="preserve">Granbarkgnagare </w:t>
      </w:r>
      <w:r>
        <w:t xml:space="preserve">är en skalbagge vars larvutveckling sker i den tjocka ytterbarken på gamla och mycket grova levande granar. Man lägger lätt märke till angreppen på träden eftersom flera grova kläckhål ligger ganska tätt intill varandra på de grövre barkåsarna. Kläckhålen är runda och ca 1,5 mm breda. Granbarkgnagare är typisk art för </w:t>
      </w:r>
      <w:r>
        <w:rPr>
          <w:i/>
        </w:rPr>
        <w:t xml:space="preserve">9010 Taiga </w:t>
      </w:r>
      <w:r>
        <w:t>(Ehnström, 2002;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