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19688-2021 i Bjurholms kommun</w:t>
      </w:r>
    </w:p>
    <w:p>
      <w:r>
        <w:t>Detta dokument behandlar höga naturvärden i avverkningsanmälan A 19688-2021 i Bjurholms kommun. Denna avverkningsanmälan inkom 2021-04-26 00:00:00 och omfattar 11,2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30 naturvårdsarter hittats: tornseglare (EN, §4), gräddporing (VU), blanksvart spiklav (NT), blågrå svartspik (NT), brunpudrad nållav (NT), dvärgbägarlav (NT), garnlav (NT), granticka (NT), kolflarnlav (NT), kortskaftad ärgspik (NT), kådvaxskinn (NT), lunglav (NT), mörk kolflarnlav (NT), spillkråka (NT, §4), talltita (NT, §4), tretåig hackspett (NT, §4), ullticka (NT), vedflamlav (NT), vedskivlav (NT), vitgrynig nållav (NT), dropptaggsvamp (S), luddlav (S), nästlav (S), spindelblomster (S, §8), stuplav (S), vedticka (S), ögonpyrola (S), kungsfågel (§4), lavskrika (§4) och fläcknycklar (§8). Av dessa är 20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69506"/>
            <wp:docPr id="1" name="Picture 1"/>
            <wp:cNvGraphicFramePr>
              <a:graphicFrameLocks noChangeAspect="1"/>
            </wp:cNvGraphicFramePr>
            <a:graphic>
              <a:graphicData uri="http://schemas.openxmlformats.org/drawingml/2006/picture">
                <pic:pic>
                  <pic:nvPicPr>
                    <pic:cNvPr id="0" name="A 19688-2021 karta.png"/>
                    <pic:cNvPicPr/>
                  </pic:nvPicPr>
                  <pic:blipFill>
                    <a:blip r:embed="rId16"/>
                    <a:stretch>
                      <a:fillRect/>
                    </a:stretch>
                  </pic:blipFill>
                  <pic:spPr>
                    <a:xfrm>
                      <a:off x="0" y="0"/>
                      <a:ext cx="5486400" cy="3569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7107107, E 685365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Brunpudrad nållav är typisk art för </w:t>
      </w:r>
      <w:r>
        <w:rPr>
          <w:i/>
        </w:rPr>
        <w:t>9010 Taiga</w:t>
      </w:r>
      <w:r>
        <w:t xml:space="preserve"> (SLU Artdatabanken, 2024; Nitare &amp; Skogsstyrelsen, 2019).</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pPr>
        <w:pStyle w:val="Heading1"/>
      </w:pPr>
      <w:r>
        <w:t>Fridlysta arter</w:t>
      </w:r>
    </w:p>
    <w:p>
      <w:r>
        <w:t>Följande fridlysta arter har sina livsmiljöer och växtplatser i den avverkningsanmälda skogen: tornseglare (EN, §4), spillkråka (NT, §4), talltita (NT, §4), tretåig hackspett (NT, §4), spindelblomster (S, §8), kungsfågel (§4), lavskrika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Lavskrika (§4)</w:t>
      </w:r>
      <w:r>
        <w:t xml:space="preserve">, som är typisk art för </w:t>
      </w:r>
      <w:r>
        <w:rPr>
          <w:i/>
        </w:rPr>
        <w:t>9010 Taiga</w:t>
      </w:r>
      <w:r>
        <w:t xml:space="preserve"> och prioriterad art i Skogsvårdslagen, är en mycket stationär fågel, som häckar i äldre, slutna och hänglavsrika barrskogar.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(Skogsstyrelsen 2016). Populationen har minskat med 20–40 % de senaste 30 åren. Arten försvinner successivt framför allt vid dess utbredningsgränser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Tornseglare (EN, §4)</w:t>
      </w:r>
      <w:r>
        <w:t xml:space="preserve"> har minskat med 54 (47–58) % under de senaste 24 åren och är rödlistad som starkt hotad (EN). Tornseglaren är en typisk hålhäckare som numera huvudsakligen är knuten till mänsklig bebyggelse. En mindre andel av beståndet häckar i mer ursprungliga miljöer, i första hand i gamla hackspetthål (främst spillkråkehål) och andra typer av håligheter i träd, men även i klippskrevor. I de inre delarna av de två nordligaste länen (Lappland) häckar den huvudsakligen i ren skogsmiljö, framförallt i gammal gles tallskog. För de tornseglare som häckar i träd i Norrlands inland har situationen sannolikt försämrats till följd av minskad mängd hålträd och av stora arealer tät produktionsskog. När arten förekommer i sluten skog handlar det ofta om skyddsvärda skogsmiljöer med äldre tallskog av naturskogskaraktär (SLU Artdatabanken, 2024;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30 naturvårdsarter varav 20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Lavskrika – ekologi samt krav på livsmiljön</w:t>
      </w:r>
    </w:p>
    <w:p>
      <w:r>
        <w:t xml:space="preserve">Lavskrika är typisk art för </w:t>
      </w:r>
      <w:r>
        <w:rPr>
          <w:i/>
        </w:rPr>
        <w:t>9010 Taiga</w:t>
      </w:r>
      <w:r>
        <w:t>, fridlyst enligt 4 § artskyddsförordningen (2007:845) och ingår i förteckningen över prioriterade arter i Skogsstyrelsens föreskrifter och allmänna råd (SKSFS 2011:7) bilaga 4.</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Populationen har minskat med 20–40 % de senaste 30 åren, men i Svensk Fågeltaxerings standardrutter varierar antalet kraftigt och ingen minskning kan skönjas de senaste 18 åren. Arten försvinner successivt framför allt vid dess utbredningsgränser (SLU Artdatabanken, 2022).</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2021.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