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24124-2024 i Bjurholms kommun</w:t>
      </w:r>
    </w:p>
    <w:p>
      <w:r>
        <w:t>Detta klagomål behandlar höga naturvärden i avverkningsanmälan A 24124-2024 i Bjurholms kommun som inkom 2024-06-13 och omfattar 13,9 ha.</w:t>
      </w:r>
    </w:p>
    <w:p>
      <w:pPr>
        <w:pStyle w:val="Caption"/>
      </w:pPr>
      <w:r>
        <w:drawing>
          <wp:inline xmlns:a="http://schemas.openxmlformats.org/drawingml/2006/main" xmlns:pic="http://schemas.openxmlformats.org/drawingml/2006/picture">
            <wp:extent cx="5486400" cy="5691773"/>
            <wp:docPr id="1" name="Picture 1"/>
            <wp:cNvGraphicFramePr>
              <a:graphicFrameLocks noChangeAspect="1"/>
            </wp:cNvGraphicFramePr>
            <a:graphic>
              <a:graphicData uri="http://schemas.openxmlformats.org/drawingml/2006/picture">
                <pic:pic>
                  <pic:nvPicPr>
                    <pic:cNvPr id="0" name="A 24124-2024 karta.png"/>
                    <pic:cNvPicPr/>
                  </pic:nvPicPr>
                  <pic:blipFill>
                    <a:blip r:embed="rId16"/>
                    <a:stretch>
                      <a:fillRect/>
                    </a:stretch>
                  </pic:blipFill>
                  <pic:spPr>
                    <a:xfrm>
                      <a:off x="0" y="0"/>
                      <a:ext cx="5486400" cy="5691773"/>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7104015, E 716676 i SWEREF 99 TM.</w:t>
      </w:r>
    </w:p>
    <w:p>
      <w:r>
        <w:t>I avverkningsanmälan finns fynd av 10 naturvårdsarter, varav 4 är rödlistade, 3 är fridlysta, 9 är typiska (T) och 4 är signalarter (S): garnlav (VU, T), lunglav (NT, T), rynkskinn (NT, T), ullticka (NT, T), bollvitmossa (S, T), skinnlav (S, T), spindelblomster (S, T, §8), stuplav (S, T), järpe (T, §4) och fläcknycklar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Rynkskinn (NT)</w:t>
      </w:r>
      <w:r>
        <w:t xml:space="preserve">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och lokalerna, som oftast har höga biologiska kvaliteter, bör lämnas till fri utveckling. Rynkskinn är typisk art för </w:t>
      </w:r>
      <w:r>
        <w:rPr>
          <w:i/>
        </w:rPr>
        <w:t xml:space="preserve">9010 Taiga, 9050 Näringsrik granskog </w:t>
      </w:r>
      <w:r>
        <w:t>och</w:t>
      </w:r>
      <w:r>
        <w:rPr>
          <w:i/>
        </w:rPr>
        <w:t xml:space="preserve"> 9030 Landhöjningsskog</w:t>
      </w:r>
      <w:r>
        <w:t xml:space="preserve"> (Nitare &amp; Skogsstyrelsen, 2019; SLU Artdatabanken, 2026).</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 xml:space="preserve">Bollvitmossa </w:t>
      </w:r>
      <w:r>
        <w:t xml:space="preserve">är en bra signalart inom hela sitt utbredningsområde. Vanligast är den i naturvårdsintressanta tallsumpskogar. Även gransumpskogar med bollvitmossa har normalt höga naturvärden. Arten indikerar skogsmark med stabila hydrologiska förhållanden och sannolikt även lång skoglig kontinuitet. Bollvitmossa är typisk art för </w:t>
      </w:r>
      <w:r>
        <w:rPr>
          <w:i/>
        </w:rPr>
        <w:t xml:space="preserve">9010 Taiga </w:t>
      </w:r>
      <w:r>
        <w:t xml:space="preserve">och </w:t>
      </w:r>
      <w:r>
        <w:rPr>
          <w:i/>
        </w:rPr>
        <w:t xml:space="preserve">9740 Skogsbevuxen myr </w:t>
      </w:r>
      <w:r>
        <w:t>(SLU Artdatabanken, 2025; Nitare &amp; Skogsstyrelsen, 2019).</w:t>
      </w:r>
    </w:p>
    <w:p>
      <w:r>
        <w:rPr>
          <w:b/>
        </w:rPr>
        <w:t xml:space="preserve">Skinnlav </w:t>
      </w:r>
      <w:r>
        <w:t xml:space="preserve">förekommer på diverse lövträd, främst på gammal asp och sälg. Den påträffas främst i områden med lång kontinuitet av grova lövträd och signalerar skogsmark med höga naturvärden. På lokalerna förekommer som regel ett flertal andra ovanliga eller rödlistade lavar. I likhet med gelélavarna, etablerar sig skinnlaven i skogsmark på grova aspar i sena lövsuccessioner. Skinnlav är typisk art för </w:t>
      </w:r>
      <w:r>
        <w:rPr>
          <w:i/>
        </w:rPr>
        <w:t xml:space="preserve">9010 Taiga, 9020 Nordlig ädellövskog </w:t>
      </w:r>
      <w:r>
        <w:t xml:space="preserve">och </w:t>
      </w:r>
      <w:r>
        <w:rPr>
          <w:i/>
        </w:rPr>
        <w:t xml:space="preserve">9070 Trädklädd betesmark </w:t>
      </w:r>
      <w:r>
        <w:t>(Nitare &amp; Skogsstyrelsen, 2019; SLU Artdatabanken, 2025).</w:t>
      </w:r>
    </w:p>
    <w:p>
      <w:r>
        <w:rPr>
          <w:b/>
        </w:rPr>
        <w:t>Spindelblomster (§8)</w:t>
      </w:r>
      <w:r>
        <w:t xml:space="preserve"> växer i äldre mossrik granskog eller barrblandskog, men även i fjällbjörkskog. Arten indikerar långvarig trädkontinuitet och hög luftfuktighet och är mycket känslig för uttorkning och markskador. Spindelblomster har i många trakter minskat starkt under senare tid på grund av slutavverkningar och skogsmarksdikning. Spindelblomster är typisk art för </w:t>
      </w:r>
      <w:r>
        <w:rPr>
          <w:i/>
        </w:rPr>
        <w:t xml:space="preserve">9010 Taiga, 9050 Näringsrik granskog </w:t>
      </w:r>
      <w:r>
        <w:t>och</w:t>
      </w:r>
      <w:r>
        <w:rPr>
          <w:i/>
        </w:rPr>
        <w:t xml:space="preserve"> 9040 Fjällbjörkskog</w:t>
      </w:r>
      <w:r>
        <w:t xml:space="preserve"> (Nitare &amp; Skogsstyrelsen, 2019; SLU Artdatabanken, 2025).</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r>
        <w:rPr>
          <w:b/>
        </w:rPr>
        <w:t>Järpe (§4)</w:t>
      </w:r>
      <w:r>
        <w:t xml:space="preserve">, som är upptagen i bilaga 1 och 2 EU:s fågeldirektiv, är mycket stationär inom sitt revir som är minst 25 hektar stort. Livsmiljöerna utgörs av tät barrskog med inblandning av lövträd och en väl utvecklad flerskiktad struktur med bärris och yngre eller undertryckta, täta granar i ett lägre skikt, ofta utmed bäckar och åar inne i den skyddande granskogen. Den överlever inte om dess livsmiljö kalavverkas och är även känslig för röjning, gallring och avverkning där unga granar och lövträd inte sparas i tillräcklig omfattning. Arten finns i sammanhängande grandominerad skog över hela Sverige men förekomsterna är betydligt glesare i Götaland än i övriga landet. Järpe är typisk art för </w:t>
      </w:r>
      <w:r>
        <w:rPr>
          <w:i/>
        </w:rPr>
        <w:t xml:space="preserve">9010 Taiga, 9080 Lövsumpskog </w:t>
      </w:r>
      <w:r>
        <w:t xml:space="preserve">och </w:t>
      </w:r>
      <w:r>
        <w:rPr>
          <w:i/>
        </w:rPr>
        <w:t xml:space="preserve">9740 Skogsbevuxen myr </w:t>
      </w:r>
      <w:r>
        <w:t>(SLU Artdatabanken, 2026).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10 naturvårdsarter varav 4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Järpe – ekologi samt krav på livsmiljön</w:t>
      </w:r>
    </w:p>
    <w:p>
      <w:r>
        <w:t>Järpe är fridlyst enligt 4§ artskyddsförordningen och upptagen i bilaga 1 och 2 EU:s fågeldirektiv. Den finns i sammanhängande grandominerad skog över hela Sverige men förekomsterna är betydligt glesare i Götaland än i övriga landet. Järpen har sina livsmiljöer i tät barrskog med inblandning av lövträd och en väl utvecklad flerskiktad struktur med bärris och yngre eller undertryckta, täta granar i ett lägre skikt, ofta utmed bäckar och åar inne i den skyddande granskogen (SLU Artdatabanken, 2026).</w:t>
      </w:r>
    </w:p>
    <w:p>
      <w:r>
        <w:t xml:space="preserve">Arten behöver lämpliga skogsbestånd om sammanlagt minst 25 hektar. Den är mycket stationär inom sitt revir och när ett par etablerat sig stannar de så länge miljön är intakt. Den undviker öppen mark och förﬂyttar sig sällan över större öppna myrar eller åkermark, och är därför känslig för fragmentering. Järpen överlever inte om dess livsmiljö kalavverkas och är även känslig för röjning, gallring och avverkning där unga granar och lövträd inte sparas i tillräcklig omfattning.  Järpe är typisk art för </w:t>
      </w:r>
      <w:r>
        <w:rPr>
          <w:i/>
        </w:rPr>
        <w:t>9010 Taiga, 9740 Skogsbevuxen myr</w:t>
      </w:r>
      <w:r>
        <w:t xml:space="preserve"> och </w:t>
      </w:r>
      <w:r>
        <w:rPr>
          <w:i/>
        </w:rPr>
        <w:t>9080 Lövsumpskog</w:t>
      </w:r>
      <w:r>
        <w:t xml:space="preserve"> (SLU Artdatabanken, 2026).</w:t>
      </w:r>
    </w:p>
    <w:p>
      <w:pPr>
        <w:pStyle w:val="Heading2"/>
      </w:pPr>
      <w:r>
        <w:t>Referenser – järpe</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