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klagomål behandlar höga naturvärden i avverkningsanmälan A 31193-2024 i Bjurholms kommun som inkom 2024-07-30 och omfattar 8,9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7114379, E 700173 i SWEREF 99 TM.</w:t>
      </w:r>
    </w:p>
    <w:p>
      <w:r>
        <w:t>I och inom 23 meter från avverkningsanmälan finns fynd av 24 naturvårdsarter, varav 12 är rödlistade, 7 är fridlysta, 15 är typiska (T) och 9 är signalarter (S): garnlav (VU, T), knärot (VU, T, §8), ulltickeporing (VU), dropptaggsvamp (NT, T), gammelgransskål (NT, T), grå blåbärsfältmätare (NT), kortskaftad ärgspik (NT), lunglav (NT, T), silverfläckspraktmal (NT), talltita (NT, §4), ullticka (NT, T), vedtrappmossa (NT, T), bollvitmossa (S, T), korallblylav (S, T), korallrot (S, T, §8), källpraktmossa (S, T), luddlav (S, T), nästlav (S, T), skinnlav (S, T), spindelblomster (S, T, §8), thomsons trägnagare (S),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320"/>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