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25995-2024 i Bjurholms kommun</w:t>
      </w:r>
    </w:p>
    <w:p>
      <w:r>
        <w:t>Detta klagomål behandlar höga naturvärden i avverkningsanmälan A 25995-2024 i Bjurholms kommun som inkom 2024-06-24 och omfattar 15,9 ha.</w:t>
      </w:r>
    </w:p>
    <w:p>
      <w:pPr>
        <w:pStyle w:val="Caption"/>
      </w:pPr>
      <w:r>
        <w:drawing>
          <wp:inline xmlns:a="http://schemas.openxmlformats.org/drawingml/2006/main" xmlns:pic="http://schemas.openxmlformats.org/drawingml/2006/picture">
            <wp:extent cx="5486400" cy="3842816"/>
            <wp:docPr id="1" name="Picture 1"/>
            <wp:cNvGraphicFramePr>
              <a:graphicFrameLocks noChangeAspect="1"/>
            </wp:cNvGraphicFramePr>
            <a:graphic>
              <a:graphicData uri="http://schemas.openxmlformats.org/drawingml/2006/picture">
                <pic:pic>
                  <pic:nvPicPr>
                    <pic:cNvPr id="0" name="A 25995-2024 karta.png"/>
                    <pic:cNvPicPr/>
                  </pic:nvPicPr>
                  <pic:blipFill>
                    <a:blip r:embed="rId16"/>
                    <a:stretch>
                      <a:fillRect/>
                    </a:stretch>
                  </pic:blipFill>
                  <pic:spPr>
                    <a:xfrm>
                      <a:off x="0" y="0"/>
                      <a:ext cx="5486400" cy="3842816"/>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7092974, E 673933 i SWEREF 99 TM.</w:t>
      </w:r>
    </w:p>
    <w:p>
      <w:r>
        <w:t>I och inom 25 meter från avverkningsanmälan finns fynd av 38 naturvårdsarter, varav 22 är rödlistade, 12 är fridlysta, 24 är typiska (T) och 9 är signalarter (S): trådbrosklav (EN), garnlav (VU, T), grantickeporing (VU), knärot (VU, T, §8), skuggnål (VU), blanksvart spiklav (NT), blågrå svartspik (NT), brunpudrad nållav (NT, T), dvärgbägarlav (NT, T), kolflarnlav (NT, T), lunglav (NT, T), mörk kolflarnlav (NT), småflikig brosklav (NT, T), stjärntagging (NT, T), talltagel (NT, T), talltita (NT, §4), tretåig hackspett (NT, T, §4), ullticka (NT, T), vedflamlav (NT), vedskivlav (NT, T), violettgrå tagellav (NT, T), vitgrynig nållav (NT), bårdlav (S, T), korallrot (S, T, §8), luddlav (S, T), norrlandslav (S, T), skinnlav (S, T), spindelblomster (S, T, §8), stuplav (S, T), vedticka (S, T), ögonpyrola (S, T), spillkråka (T, §4), tjäder (T, §4), kungsfågel (§4), vanlig padda (§6), fläcknycklar (§8), nattviol (§8)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Trådbrosklav (EN)</w:t>
      </w:r>
      <w:r>
        <w:t xml:space="preserve"> är rödlistad som starkt hotad och förekommer huvudsakligen i brandrefugier med hög luftfuktighet som bäckraviner, bäckdråg och gransumpskogar. Eftersom arten huvudsakligen är knuten till produktiva gamla granbestånd är avverkningshotet stort och minskningstakten pågår och förväntas uppgå till 50 (40–70) % inom 50 år. Den är placerad högst upp i Skogsstyrelsens värdepyramid för bedömning av skog med höga naturvärden och skog där trådbrosklav förekommer bör helt undantas från skogsbruksåtgärder. Det är väsentligt att tillräckligt stora bestånd och breda kantzoner avsätts eftersom arten är känslig för uttorkning. Samtliga rika förekomster bör skyddas (SLU Artdatabanken, 2024).</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Grantickeporing (VU)</w:t>
      </w:r>
      <w:r>
        <w:t xml:space="preserve"> växer på murken ved och döda fruktkroppar av granticka och gränsticka (VU). Den förekommer i naturskogsliknade granskogar, gärna i fuktiga miljöer vid källbäckar och liknande. Avverkning av naturskogslika miljöer och av grova granar där grantickeporing förekommer är ett direkt hot mot artens fortlevnad. Gamla granskogar som hyser arten undantas helt från skogsbruk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55 fyndplatser för knärot registrerade på Artportalen. Figur 2 visar gränserna för buffertzoner på 50 m, som behöver lämnas kring fyndplatserna för att knärotslokalerna inte ska försvinna vid en avverkning. Av det avverkningsanmälda området överlappar 6.93 ha med buffertzonerna och får av detta skäl inte avverkas.</w:t>
      </w:r>
    </w:p>
    <w:p>
      <w:pPr>
        <w:pStyle w:val="Caption"/>
      </w:pPr>
      <w:r>
        <w:drawing>
          <wp:inline xmlns:a="http://schemas.openxmlformats.org/drawingml/2006/main" xmlns:pic="http://schemas.openxmlformats.org/drawingml/2006/picture">
            <wp:extent cx="5486400" cy="3125403"/>
            <wp:docPr id="2" name="Picture 2"/>
            <wp:cNvGraphicFramePr>
              <a:graphicFrameLocks noChangeAspect="1"/>
            </wp:cNvGraphicFramePr>
            <a:graphic>
              <a:graphicData uri="http://schemas.openxmlformats.org/drawingml/2006/picture">
                <pic:pic>
                  <pic:nvPicPr>
                    <pic:cNvPr id="0" name="A 25995-2024 karta knärot.png"/>
                    <pic:cNvPicPr/>
                  </pic:nvPicPr>
                  <pic:blipFill>
                    <a:blip r:embed="rId17"/>
                    <a:stretch>
                      <a:fillRect/>
                    </a:stretch>
                  </pic:blipFill>
                  <pic:spPr>
                    <a:xfrm>
                      <a:off x="0" y="0"/>
                      <a:ext cx="5486400" cy="3125403"/>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7092974, E 673933 i SWEREF 99 TM.</w:t>
      </w:r>
    </w:p>
    <w:p>
      <w:r>
        <w:rPr>
          <w:b/>
        </w:rPr>
        <w:t xml:space="preserve">Skuggnål (VU) </w:t>
      </w:r>
      <w:r>
        <w:t>växer främst vid basen av gamla grova granar i gamla boreala barrskogar med hög bonitet och mycket hög luftfuktighet. Minskningstakten har uppgått till 30 (20–50) % under de senaste 50 åren och överstiger gränsvärdet för Sårbar (VU) enligt A-kriteriet. (A2bc+4bc). Vid skogliga inventeringar är skuggnål en art som måste eftersökas och dess växtplatser ska bedömas som nyckelbiotoper (SLU Artdatabanken, 2024).</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Brunpudrad nållav är typisk art för </w:t>
      </w:r>
      <w:r>
        <w:rPr>
          <w:i/>
        </w:rPr>
        <w:t>9010 Taiga</w:t>
      </w:r>
      <w:r>
        <w:t xml:space="preserve"> (SLU Artdatabanken, 2024; Nitare &amp; Skogsstyrelsen, 2019).</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 xml:space="preserve">Småflikig brosklav (NT) </w:t>
      </w:r>
      <w:r>
        <w:t xml:space="preserve">signalerar i hela sitt utbredningsområde skogsbestånd med höga naturvärden. Den indikerar hög luftfuktighet och långvarig förekomst av asp. Småflikig brosklav är typisk art för </w:t>
      </w:r>
      <w:r>
        <w:rPr>
          <w:i/>
        </w:rPr>
        <w:t>9010 Taiga</w:t>
      </w:r>
      <w:r>
        <w:t xml:space="preserve"> (Nitare &amp; Skogsstyrelsen, 2019; SLU Artdatabanken, 2025).</w:t>
      </w:r>
    </w:p>
    <w:p>
      <w:r>
        <w:rPr>
          <w:b/>
        </w:rPr>
        <w:t>Stjärntagging (NT)</w:t>
      </w:r>
      <w:r>
        <w:t xml:space="preserve"> signalerar inom hela sitt utbredningsområde höga naturvärden. Svampen är uttorkningskänslig och beroende av ett oförändrat fuktigt mikroklimat. Den är även beroende av en ständig tillgång på död ved i olika nedbrytningsstadier, dock ej nödvändigtvis grova träd. Tidigare påverkan på miljön måste dock ha varit så skonsam att det naturliga skogsekosystemet till stora delar har bevarats. Minskningstakten för den svenska populationen bedöms vara nära gränsvärdet för Sårbar (VU). Stjärntagging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Talltagel (NT)</w:t>
      </w:r>
      <w:r>
        <w:t xml:space="preserve"> är en boreal art som förekommer på tall i äldre, öppna tallskogar. Den påverkas negativt av brist på kontinuitetsskog och minskningstakten bedöms vara nära gränsvärdet för Sårbar (VU). Talltagel är typisk art för </w:t>
      </w:r>
      <w:r>
        <w:rPr>
          <w:i/>
        </w:rPr>
        <w:t>9010 Taiga</w:t>
      </w:r>
      <w:r>
        <w:t xml:space="preserve"> (SLU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Korallrot är typisk art för </w:t>
      </w:r>
      <w:r>
        <w:rPr>
          <w:i/>
        </w:rPr>
        <w:t>9080 Lövsumpskog</w:t>
      </w:r>
      <w:r>
        <w:t xml:space="preserve"> och fridlyst enligt 8 § artskyddsförordningen (SLU Artdatabanken, 2024; Nitare &amp; Skogsstyrelsen, 2019).</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 xml:space="preserve">Norrlandslav </w:t>
      </w:r>
      <w:r>
        <w:t xml:space="preserve">indikerar söder om den naturliga norrlandsgränsen barrskogsbeklädda bergbranter eller andra ostörda skogsmiljöer med höga naturvärden. Norrlandslav är typisk art för </w:t>
      </w:r>
      <w:r>
        <w:rPr>
          <w:i/>
        </w:rPr>
        <w:t xml:space="preserve">9010 Taiga, 8110 Silikatrasmarker </w:t>
      </w:r>
      <w:r>
        <w:t>och</w:t>
      </w:r>
      <w:r>
        <w:rPr>
          <w:i/>
        </w:rPr>
        <w:t xml:space="preserve"> 8120 Kalkrasmarker </w:t>
      </w:r>
      <w:r>
        <w:t>(Nitare &amp; Skogsstyrelsen, 2000; SLU Artdatabanken, 2025).</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 xml:space="preserve">Ögonpyrola </w:t>
      </w:r>
      <w:r>
        <w:t xml:space="preserve">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Ögonpyrola är typisk art för </w:t>
      </w:r>
      <w:r>
        <w:rPr>
          <w:i/>
        </w:rPr>
        <w:t>9010 Taiga</w:t>
      </w:r>
      <w:r>
        <w:t xml:space="preserve"> och</w:t>
      </w:r>
      <w:r>
        <w:rPr>
          <w:i/>
        </w:rPr>
        <w:t xml:space="preserve"> 9070 Trädklädd betesmark</w:t>
      </w:r>
      <w:r>
        <w:t xml:space="preserve"> (Nitare &amp; Skogsstyrelsen, 2019; SLU Artdatabanken, 2024).</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31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38 naturvårdsarter varav 22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2026-08-19</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