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25995-2024 i Bjurholms kommun</w:t>
      </w:r>
    </w:p>
    <w:p>
      <w:r>
        <w:t>Denna tillsynsbegäran behandlar höga naturvärden i avverkningsanmälan A 25995-2024 i Bjurholms kommun som inkom 2024-06-24 och omfattar 15,9 ha.</w:t>
      </w:r>
    </w:p>
    <w:p>
      <w:pPr>
        <w:pStyle w:val="Caption"/>
      </w:pPr>
      <w:r>
        <w:drawing>
          <wp:inline xmlns:a="http://schemas.openxmlformats.org/drawingml/2006/main" xmlns:pic="http://schemas.openxmlformats.org/drawingml/2006/picture">
            <wp:extent cx="5486400" cy="38428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38428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7092974, E 673933 i SWEREF 99 TM.</w:t>
      </w:r>
    </w:p>
    <w:p>
      <w:r>
        <w:t>I och inom 25 meter från avverkningsanmälan finns fynd av 38 naturvårdsarter, varav 22 är rödlistade, 12 är fridlysta, 24 är typiska (T) och 9 är signalarter (S): trådbrosklav (EN), garnlav (VU, T), grantickeporing (VU), knärot (VU, T, §8), skuggnål (VU), blanksvart spiklav (NT), blågrå svartspik (NT), brunpudrad nållav (NT, T), dvärgbägarlav (NT, T), kolflarnlav (NT, T), lunglav (NT, T), mörk kolflarnlav (NT), småflikig brosklav (NT, T), stjärntagging (NT, T), talltagel (NT, T), talltita (NT, §4), tretåig hackspett (NT, T, §4), ullticka (NT, T), vedflamlav (NT), vedskivlav (NT, T), violettgrå tagellav (NT, T), vitgrynig nållav (NT), bårdlav (S, T), korallrot (S, T, §8), luddlav (S, T), norrlandslav (S, T), skinnlav (S, T), spindelblomster (S, T, §8), stuplav (S, T), vedticka (S, T), ögonpyrola (S, T), spillkråka (T, §4), tjäder (T, §4), kungsfågel (§4), vanlig padda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3125403"/>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3125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dvärgbägarlav (NT, T), kolflarnlav (NT, T), lunglav (NT, T), småflikig brosklav (NT, T), stjärntagging (NT, T), talltagel (NT, T), tretåig hackspett (NT, T, §4), ullticka (NT, T), vedskivlav (NT, T), violettgrå tagellav (NT, T), bårdlav (S, T), korallrot (S, T, §8), luddlav (S, T), norrlandslav (S, T), skinnlav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