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31193-2024 i Bjurholms kommun</w:t>
      </w:r>
    </w:p>
    <w:p>
      <w:r>
        <w:t>Detta dokument behandlar höga naturvärden i avverkningsanmälan A 31193-2024 i Bjurholms kommun. Denna avverkningsanmälan inkom 2024-07-30 00:00:00 och omfattar 8,9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ulltickeporing (VU), gammelgransskål (NT), garnlav (NT), grå blåbärsfältmätare (NT), lunglav (NT), silverfläckspraktmal (NT), talltita (NT, §4), ullticka (NT), vedtrappmossa (NT), bollvitmossa (S), dropptaggsvamp (S), korallblylav (S), luddlav (S), nästlav (S), skinnlav (S), spindelblomster (S, §8), thomsons trägnagare (S), kungsfågel (§4),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8731"/>
            <wp:docPr id="1" name="Picture 1"/>
            <wp:cNvGraphicFramePr>
              <a:graphicFrameLocks noChangeAspect="1"/>
            </wp:cNvGraphicFramePr>
            <a:graphic>
              <a:graphicData uri="http://schemas.openxmlformats.org/drawingml/2006/picture">
                <pic:pic>
                  <pic:nvPicPr>
                    <pic:cNvPr id="0" name="A 31193-2024 karta.png"/>
                    <pic:cNvPicPr/>
                  </pic:nvPicPr>
                  <pic:blipFill>
                    <a:blip r:embed="rId16"/>
                    <a:stretch>
                      <a:fillRect/>
                    </a:stretch>
                  </pic:blipFill>
                  <pic:spPr>
                    <a:xfrm>
                      <a:off x="0" y="0"/>
                      <a:ext cx="5486400" cy="5828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7114379, E 700173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Silverfläckspraktmal (NT)</w:t>
      </w:r>
      <w:r>
        <w:t xml:space="preserve"> är en sällsynt art som främst förekommer i anslutning till åldriga hålträd i områden med lång trädkontinuitet. Den är funnen i Sverige inom ett relativt stort utbredningsområde från Skåne till Norrbotten. Bristande kontinuitet av naturskogar och borttagning av gamla lövträd minskar successivt antalet kända lokaler. Silverfläckspraktmalen ingår i ett åtgärdsprogram för hotade arter (ÅGP)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spindelblomster (S, §8), kungsfågel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42 fyndplatser för knärot registrerade på Artportalen. Figur 2 visar gränserna för buffertzoner på 50 m, som behöver lämnas kring fyndplatserna för att knärotslokalerna inte ska försvinna vid en avverkning. Av det avverkningsanmälda området överlappar 3.27 ha med buffertzonerna och får av detta skäl inte avverkas.</w:t>
      </w:r>
    </w:p>
    <w:p>
      <w:pPr>
        <w:pStyle w:val="Caption"/>
      </w:pPr>
      <w:r>
        <w:drawing>
          <wp:inline xmlns:a="http://schemas.openxmlformats.org/drawingml/2006/main" xmlns:pic="http://schemas.openxmlformats.org/drawingml/2006/picture">
            <wp:extent cx="5486400" cy="7705997"/>
            <wp:docPr id="2" name="Picture 2"/>
            <wp:cNvGraphicFramePr>
              <a:graphicFrameLocks noChangeAspect="1"/>
            </wp:cNvGraphicFramePr>
            <a:graphic>
              <a:graphicData uri="http://schemas.openxmlformats.org/drawingml/2006/picture">
                <pic:pic>
                  <pic:nvPicPr>
                    <pic:cNvPr id="0" name="A 31193-2024 karta knärot.png"/>
                    <pic:cNvPicPr/>
                  </pic:nvPicPr>
                  <pic:blipFill>
                    <a:blip r:embed="rId17"/>
                    <a:stretch>
                      <a:fillRect/>
                    </a:stretch>
                  </pic:blipFill>
                  <pic:spPr>
                    <a:xfrm>
                      <a:off x="0" y="0"/>
                      <a:ext cx="5486400" cy="77059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7114379, E 700173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