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31193-2024 i Bjurholms kommun</w:t>
      </w:r>
    </w:p>
    <w:p>
      <w:r>
        <w:t>Detta dokument behandlar höga naturvärden i avverkningsanmälan A 31193-2024 i Bjurholms kommun. Denna avverkningsanmälan inkom 2024-07-30 00:00:00 och omfattar 8,9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knärot (VU, §8), ulltickeporing (VU), gammelgransskål (NT), garnlav (NT), grå blåbärsfältmätare (NT), lunglav (NT), silverfläckspraktmal (NT), talltita (NT, §4), ullticka (NT), vedtrappmossa (NT), bollvitmossa (S), dropptaggsvamp (S), korallblylav (S), luddlav (S), nästlav (S), skinnlav (S), spindelblomster (S, §8), thomsons trägnagare (S), kungsfågel (§4), fläcknycklar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8731"/>
            <wp:docPr id="1" name="Picture 1"/>
            <wp:cNvGraphicFramePr>
              <a:graphicFrameLocks noChangeAspect="1"/>
            </wp:cNvGraphicFramePr>
            <a:graphic>
              <a:graphicData uri="http://schemas.openxmlformats.org/drawingml/2006/picture">
                <pic:pic>
                  <pic:nvPicPr>
                    <pic:cNvPr id="0" name="A 31193-2024 karta.png"/>
                    <pic:cNvPicPr/>
                  </pic:nvPicPr>
                  <pic:blipFill>
                    <a:blip r:embed="rId16"/>
                    <a:stretch>
                      <a:fillRect/>
                    </a:stretch>
                  </pic:blipFill>
                  <pic:spPr>
                    <a:xfrm>
                      <a:off x="0" y="0"/>
                      <a:ext cx="5486400" cy="5828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7114379, E 700173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Grå blåbärsfältmätare (NT)</w:t>
      </w:r>
      <w:r>
        <w:t xml:space="preserve"> har tidigare ansetts som en mycket vanlig art men har utifrån fältobservationer gått starkt tillbaka och är nu försvunnen från stora delar av södra och mellersta Sverige. Sannolikt minskar arten även i norr. Detta indikerar att arten är starkare knuten till kontinuitetsskog med stort innehåll av blåbär än man tidigare trott och den förefaller vara mycket känslig för kalhyggesbruk. Fjärilens huvudsakliga habitat är luckiga granskogar med ett välutvecklat blåbärskikt på vilket larven lever. Denna livsmiljö är hotad av kalhyggesbruket där blåbärsriset skuggas ut när den uppväxande skogen sluter sig. Minskningstakten för den svenska populationen bedöms vara nära gränsvärdet för Sårbar (VU)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Silverfläckspraktmal (NT)</w:t>
      </w:r>
      <w:r>
        <w:t xml:space="preserve"> är en sällsynt art som främst förekommer i anslutning till åldriga hålträd i områden med lång trädkontinuitet. Den är funnen i Sverige inom ett relativt stort utbredningsområde från Skåne till Norrbotten. Bristande kontinuitet av naturskogar och borttagning av gamla lövträd minskar successivt antalet kända lokaler. Silverfläckspraktmalen ingår i ett åtgärdsprogram för hotade arter (ÅGP)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talltita (NT, §4), spindelblomster (S, §8), kungsfågel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42 fyndplatser för knärot registrerade på Artportalen. Figur 2 visar gränserna för buffertzoner på 50 m, som behöver lämnas kring fyndplatserna för att knärotslokalerna inte ska försvinna vid en avverkning. Av det avverkningsanmälda området överlappar 3.27 ha med buffertzonerna och får av detta skäl inte avverkas.</w:t>
      </w:r>
    </w:p>
    <w:p>
      <w:pPr>
        <w:pStyle w:val="Caption"/>
      </w:pPr>
      <w:r>
        <w:drawing>
          <wp:inline xmlns:a="http://schemas.openxmlformats.org/drawingml/2006/main" xmlns:pic="http://schemas.openxmlformats.org/drawingml/2006/picture">
            <wp:extent cx="5486400" cy="7705997"/>
            <wp:docPr id="2" name="Picture 2"/>
            <wp:cNvGraphicFramePr>
              <a:graphicFrameLocks noChangeAspect="1"/>
            </wp:cNvGraphicFramePr>
            <a:graphic>
              <a:graphicData uri="http://schemas.openxmlformats.org/drawingml/2006/picture">
                <pic:pic>
                  <pic:nvPicPr>
                    <pic:cNvPr id="0" name="A 31193-2024 karta knärot.png"/>
                    <pic:cNvPicPr/>
                  </pic:nvPicPr>
                  <pic:blipFill>
                    <a:blip r:embed="rId17"/>
                    <a:stretch>
                      <a:fillRect/>
                    </a:stretch>
                  </pic:blipFill>
                  <pic:spPr>
                    <a:xfrm>
                      <a:off x="0" y="0"/>
                      <a:ext cx="5486400" cy="77059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7114379, E 700173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