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51874-2024 i Bjurholms kommun</w:t>
      </w:r>
    </w:p>
    <w:p>
      <w:r>
        <w:t>Detta dokument behandlar höga naturvärden i avverkningsanmälan A 51874-2024 i Bjurholms kommun. Denna avverkningsanmälan inkom 2024-11-11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gammelgransskål (NT), garnlav (NT), granticka (NT), lunglav (NT), spillkråka (NT, §4), talltita (NT, §4), tretåig hackspett (NT, §4), ullticka (NT), bårdlav (S), skör kvastmossa (S), stuplav (S) och lavskrika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51874-2024 karta.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7092255, E 711155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Skör kvastmossa </w:t>
      </w:r>
      <w:r>
        <w:t>växer på murket trä och någon gång på humusrik jord eller torv. Den påträffas främst i miljöer med hög luftfuktighet, såsom sumpskogar och strandskogar. Den signalerar skog med höga naturvärden och indikerar rik förekomst av ved i olika nedbrytningsstadier på lokaler med hög och jämn luftfuktighet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talltita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