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57334-2022 i Bjurholms kommun</w:t>
      </w:r>
    </w:p>
    <w:p>
      <w:r>
        <w:t>Detta dokument behandlar höga naturvärden i avverkningsanmälan A 57334-2022 i Bjurholms kommun. Denna avverkningsanmälan inkom 2022-12-01 08:56:50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fläckporing (VU), knärot (VU, §8), barkporlav (NT), garnlav (NT), kolflarnlav (NT), kortskaftad ärgspik (NT), lunglav (NT), mörk kolflarnlav (NT), skrovellav (NT), spillkråka (NT, §4), talltita (NT, §4), tretåig hackspett (NT, §4), vedskivlav (NT), dropptaggsvamp (S), stuplav (S)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7334-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7106936, E 685121 i SWEREF 99 TM.</w:t>
      </w:r>
    </w:p>
    <w:p>
      <w:r>
        <w:rPr>
          <w:b/>
        </w:rPr>
        <w:t>Barkporlav (NT)</w:t>
      </w:r>
      <w:r>
        <w:t xml:space="preserve"> växer främst på äldre lövträd i lövrika barrskogar av naturskogskaraktär med hög luftfuktighet. Flera av växtplatserna är vid större vattenfall, där forsdimma ger hög och jämn luftfuktighet. Det huvudsakliga hotet mot arten är skogsavverkningar och det finns inga uppgifter om att arten överlever på lövträd som har ställts kvar efter slutavverkning. Kända lokaler bör skyddas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5307333"/>
            <wp:docPr id="2" name="Picture 2"/>
            <wp:cNvGraphicFramePr>
              <a:graphicFrameLocks noChangeAspect="1"/>
            </wp:cNvGraphicFramePr>
            <a:graphic>
              <a:graphicData uri="http://schemas.openxmlformats.org/drawingml/2006/picture">
                <pic:pic>
                  <pic:nvPicPr>
                    <pic:cNvPr id="0" name="A 57334-2022 karta knärot.png"/>
                    <pic:cNvPicPr/>
                  </pic:nvPicPr>
                  <pic:blipFill>
                    <a:blip r:embed="rId17"/>
                    <a:stretch>
                      <a:fillRect/>
                    </a:stretch>
                  </pic:blipFill>
                  <pic:spPr>
                    <a:xfrm>
                      <a:off x="0" y="0"/>
                      <a:ext cx="5486400" cy="53073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7106936, E 685121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