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38542-2025 i Bjurholms kommun</w:t>
      </w:r>
    </w:p>
    <w:p>
      <w:r>
        <w:t>Detta klagomål behandlar höga naturvärden i avverkningsanmälan A 38542-2025 i Bjurholms kommun som inkom 2025-08-15 och omfattar 30,0 ha.</w:t>
      </w:r>
    </w:p>
    <w:p>
      <w:pPr>
        <w:pStyle w:val="Caption"/>
      </w:pPr>
      <w:r>
        <w:drawing>
          <wp:inline xmlns:a="http://schemas.openxmlformats.org/drawingml/2006/main" xmlns:pic="http://schemas.openxmlformats.org/drawingml/2006/picture">
            <wp:extent cx="4893314" cy="5724000"/>
            <wp:docPr id="1" name="Picture 1"/>
            <wp:cNvGraphicFramePr>
              <a:graphicFrameLocks noChangeAspect="1"/>
            </wp:cNvGraphicFramePr>
            <a:graphic>
              <a:graphicData uri="http://schemas.openxmlformats.org/drawingml/2006/picture">
                <pic:pic>
                  <pic:nvPicPr>
                    <pic:cNvPr id="0" name="A 38542-2025 karta.png"/>
                    <pic:cNvPicPr/>
                  </pic:nvPicPr>
                  <pic:blipFill>
                    <a:blip r:embed="rId16"/>
                    <a:stretch>
                      <a:fillRect/>
                    </a:stretch>
                  </pic:blipFill>
                  <pic:spPr>
                    <a:xfrm>
                      <a:off x="0" y="0"/>
                      <a:ext cx="489331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7087166, E 681243 i SWEREF 99 TM.</w:t>
      </w:r>
    </w:p>
    <w:p>
      <w:r>
        <w:t>I och inom 25 meter från avverkningsanmälan finns fynd av 29 naturvårdsarter, varav 16 är rödlistade, 9 är fridlysta, 19 är typiska (T) och 7 är signalarter (S): garnlav (VU, T), gräddporing (VU, T), knärot (VU, T, §8), läderlappslav (VU, T), dropptaggsvamp (NT, T), dvärgbägarlav (NT, T), kolflarnlav (NT, T), lunglav (NT, T), mörk kolflarnlav (NT), talltita (NT, §4), tretåig hackspett (NT, T, §4), ullticka (NT, T), vedflamlav (NT), vedskivlav (NT, T), vedtrappmossa (NT, T), vitplätt (NT), björksplintborre (S), dvärgtufs (S), gytterlav (S, T), skinnlav (S, T), stor aspticka (S, T), stuplav (S, T), vedticka (S, T), spillkråka (T, §4), tjäder (T, §4), vanlig groda (§6),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5.69 ha med buffertzonerna och får av detta skäl inte avverkas.</w:t>
      </w:r>
    </w:p>
    <w:p>
      <w:pPr>
        <w:pStyle w:val="Caption"/>
      </w:pPr>
      <w:r>
        <w:drawing>
          <wp:inline xmlns:a="http://schemas.openxmlformats.org/drawingml/2006/main" xmlns:pic="http://schemas.openxmlformats.org/drawingml/2006/picture">
            <wp:extent cx="5486400" cy="5816338"/>
            <wp:docPr id="2" name="Picture 2"/>
            <wp:cNvGraphicFramePr>
              <a:graphicFrameLocks noChangeAspect="1"/>
            </wp:cNvGraphicFramePr>
            <a:graphic>
              <a:graphicData uri="http://schemas.openxmlformats.org/drawingml/2006/picture">
                <pic:pic>
                  <pic:nvPicPr>
                    <pic:cNvPr id="0" name="A 38542-2025 karta knärot.png"/>
                    <pic:cNvPicPr/>
                  </pic:nvPicPr>
                  <pic:blipFill>
                    <a:blip r:embed="rId17"/>
                    <a:stretch>
                      <a:fillRect/>
                    </a:stretch>
                  </pic:blipFill>
                  <pic:spPr>
                    <a:xfrm>
                      <a:off x="0" y="0"/>
                      <a:ext cx="5486400" cy="5816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7087166, E 681243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