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31193-2024 i Bjurholms kommun</w:t>
      </w:r>
    </w:p>
    <w:p>
      <w:r>
        <w:t>Detta klagomål behandlar höga naturvärden i avverkningsanmälan A 31193-2024 i Bjurholms kommun som inkom 2024-07-30 och omfattar 8,9 ha.</w:t>
      </w:r>
    </w:p>
    <w:p>
      <w:pPr>
        <w:pStyle w:val="Caption"/>
      </w:pPr>
      <w:r>
        <w:drawing>
          <wp:inline xmlns:a="http://schemas.openxmlformats.org/drawingml/2006/main" xmlns:pic="http://schemas.openxmlformats.org/drawingml/2006/picture">
            <wp:extent cx="5486400" cy="5691773"/>
            <wp:docPr id="1" name="Picture 1"/>
            <wp:cNvGraphicFramePr>
              <a:graphicFrameLocks noChangeAspect="1"/>
            </wp:cNvGraphicFramePr>
            <a:graphic>
              <a:graphicData uri="http://schemas.openxmlformats.org/drawingml/2006/picture">
                <pic:pic>
                  <pic:nvPicPr>
                    <pic:cNvPr id="0" name="A 31193-2024 karta.png"/>
                    <pic:cNvPicPr/>
                  </pic:nvPicPr>
                  <pic:blipFill>
                    <a:blip r:embed="rId16"/>
                    <a:stretch>
                      <a:fillRect/>
                    </a:stretch>
                  </pic:blipFill>
                  <pic:spPr>
                    <a:xfrm>
                      <a:off x="0" y="0"/>
                      <a:ext cx="5486400" cy="5691773"/>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7114379, E 700173 i SWEREF 99 TM.</w:t>
      </w:r>
    </w:p>
    <w:p>
      <w:r>
        <w:t>I och inom 23 meter från avverkningsanmälan finns fynd av 24 naturvårdsarter, varav 12 är rödlistade, 7 är fridlysta, 15 är typiska (T) och 9 är signalarter (S): garnlav (VU, T), knärot (VU, T, §8), ulltickeporing (VU), dropptaggsvamp (NT, T), gammelgransskål (NT, T), grå blåbärsfältmätare (NT), kortskaftad ärgspik (NT), lunglav (NT, T), silverfläckspraktmal (NT), talltita (NT, §4), ullticka (NT, T), vedtrappmossa (NT, T), bollvitmossa (S, T), korallblylav (S, T), korallrot (S, T, §8), källpraktmossa (S, T), luddlav (S, T), nästlav (S, T), skinnlav (S, T), spindelblomster (S, T, §8), thomsons trägnagare (S), kungsfågel (§4),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46 fyndplatser för knärot registrerade på Artportalen. Figur 2 visar gränserna för buffertzoner på 50 m, som behöver lämnas kring fyndplatserna för att knärotslokalerna inte ska försvinna vid en avverkning. Av det avverkningsanmälda området överlappar 3.27 ha med buffertzonerna och får av detta skäl inte avverkas.</w:t>
      </w:r>
    </w:p>
    <w:p>
      <w:pPr>
        <w:pStyle w:val="Caption"/>
      </w:pPr>
      <w:r>
        <w:drawing>
          <wp:inline xmlns:a="http://schemas.openxmlformats.org/drawingml/2006/main" xmlns:pic="http://schemas.openxmlformats.org/drawingml/2006/picture">
            <wp:extent cx="5486400" cy="7705320"/>
            <wp:docPr id="2" name="Picture 2"/>
            <wp:cNvGraphicFramePr>
              <a:graphicFrameLocks noChangeAspect="1"/>
            </wp:cNvGraphicFramePr>
            <a:graphic>
              <a:graphicData uri="http://schemas.openxmlformats.org/drawingml/2006/picture">
                <pic:pic>
                  <pic:nvPicPr>
                    <pic:cNvPr id="0" name="A 31193-2024 karta knärot.png"/>
                    <pic:cNvPicPr/>
                  </pic:nvPicPr>
                  <pic:blipFill>
                    <a:blip r:embed="rId17"/>
                    <a:stretch>
                      <a:fillRect/>
                    </a:stretch>
                  </pic:blipFill>
                  <pic:spPr>
                    <a:xfrm>
                      <a:off x="0" y="0"/>
                      <a:ext cx="5486400" cy="770532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7114379, E 700173 i SWEREF 99 TM.</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Grå blåbärsfältmätare (NT)</w:t>
      </w:r>
      <w:r>
        <w:t xml:space="preserve"> har tidigare ansetts som en mycket vanlig art men har utifrån fältobservationer gått starkt tillbaka och är nu försvunnen från stora delar av södra och mellersta Sverige. Sannolikt minskar arten även i norr. Detta indikerar att arten är starkare knuten till kontinuitetsskog med stort innehåll av blåbär än man tidigare trott och den förefaller vara mycket känslig för kalhyggesbruk. Fjärilens huvudsakliga habitat är luckiga granskogar med ett välutvecklat blåbärskikt på vilket larven lever. Denna livsmiljö är hotad av kalhyggesbruket där blåbärsriset skuggas ut när den uppväxande skogen sluter sig. Minskningstakten för den svenska populationen bedöms vara nära gränsvärdet för Sårbar (VU)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Silverfläckspraktmal (NT)</w:t>
      </w:r>
      <w:r>
        <w:t xml:space="preserve"> är en sällsynt art som främst förekommer i anslutning till åldriga hålträd i områden med lång trädkontinuitet. Den är funnen i Sverige inom ett relativt stort utbredningsområde från Skåne till Norrbotten. Bristande kontinuitet av naturskogar och borttagning av gamla lövträd minskar successivt antalet kända lokaler. Silverfläckspraktmalen ingår i ett åtgärdsprogram för hotade arter (ÅGP)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 xml:space="preserve">Källpraktmossa </w:t>
      </w:r>
      <w:r>
        <w:t xml:space="preserve">växer på fuktig eller blöt, näringsrik och ofta mineralrik mark, t.ex. i sumpskogar. Den är en god signalart i södra och mellersta Sverige och förekommer ofta i artrika miljöer med t.ex. kärrkammossa, bågpraktmossa, filtrundmossa och skogshakmossa. Eftersom mängden våtmarker har reducerats kraftigt i södra Sverige under det senaste seklet har förekomsten av källpraktmossa troligen minskat i söder. Källpraktmossa är typisk art för </w:t>
      </w:r>
      <w:r>
        <w:rPr>
          <w:i/>
        </w:rPr>
        <w:t xml:space="preserve">7160 Källor och källkärr, 9750 Svämlövskog </w:t>
      </w:r>
      <w:r>
        <w:t>och</w:t>
      </w:r>
      <w:r>
        <w:rPr>
          <w:i/>
        </w:rPr>
        <w:t xml:space="preserve"> 9080 Lövsumpskog </w:t>
      </w:r>
      <w:r>
        <w:t>(Nitare &amp; Skogsstyrelsen, 2019; 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21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24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2026-08-17</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