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33362-2024 i Bjurholms kommun</w:t>
      </w:r>
    </w:p>
    <w:p>
      <w:r>
        <w:t>Detta dokument behandlar höga naturvärden i avverkningsanmälan A 33362-2024 i Bjurholms kommun. Denna avverkningsanmälan inkom 2024-08-15 00:00:00 och omfattar 15,1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21 naturvårdsarter hittats: knärot (VU, §8), gammelgransskål (NT), garnlav (NT), granticka (NT), lunglav (NT), rosenticka (NT), skrovellav (NT), talltita (NT, §4), ullticka (NT), vedtrappmossa (NT), bårdlav (S), gulnål (S), gulpudrad spiklav (S), luddlav (S), spindelblomster (S, §8), spädstarr (S), stuplav (S), vedticka (S), ögonpyrola (S), fläcknycklar (§8) och revlummer (§9). Av dessa är 10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784560"/>
            <wp:docPr id="1" name="Picture 1"/>
            <wp:cNvGraphicFramePr>
              <a:graphicFrameLocks noChangeAspect="1"/>
            </wp:cNvGraphicFramePr>
            <a:graphic>
              <a:graphicData uri="http://schemas.openxmlformats.org/drawingml/2006/picture">
                <pic:pic>
                  <pic:nvPicPr>
                    <pic:cNvPr id="0" name="A 33362-2024 karta.png"/>
                    <pic:cNvPicPr/>
                  </pic:nvPicPr>
                  <pic:blipFill>
                    <a:blip r:embed="rId16"/>
                    <a:stretch>
                      <a:fillRect/>
                    </a:stretch>
                  </pic:blipFill>
                  <pic:spPr>
                    <a:xfrm>
                      <a:off x="0" y="0"/>
                      <a:ext cx="5486400" cy="778456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7113002, E 699910 i SWEREF 99 TM.</w:t>
      </w:r>
    </w:p>
    <w:p>
      <w:r>
        <w:rPr>
          <w:b/>
        </w:rPr>
        <w:t>Bårdlav</w:t>
      </w:r>
      <w:r>
        <w:t xml:space="preserve"> signalerar miljöer med höga naturvärden och på lokalerna finns vanligtvis många andra ovanliga och rödlistade arter. Den visar även på platser med hög och jämn luftfuktighet. På bårdlav och andra njurlavar (Nephroma) kan de sällsynta parasiterna </w:t>
      </w:r>
      <w:r>
        <w:rPr>
          <w:i/>
        </w:rPr>
        <w:t xml:space="preserve">Protounguicularia nephromatis </w:t>
      </w:r>
      <w:r>
        <w:t xml:space="preserve">(VU) och </w:t>
      </w:r>
      <w:r>
        <w:rPr>
          <w:i/>
        </w:rPr>
        <w:t xml:space="preserve">Tremella nephromatis </w:t>
      </w:r>
      <w:r>
        <w:t xml:space="preserve">(DD) påträffas.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2026;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Granticka</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Det som tidigare inbegripit grantickan har visat sig röra sig om två arter; tajgagranticka </w:t>
      </w:r>
      <w:r>
        <w:rPr>
          <w:i/>
        </w:rPr>
        <w:t>Porodaedalea abietis</w:t>
      </w:r>
      <w:r>
        <w:t xml:space="preserve"> (LC) och </w:t>
      </w:r>
      <w:r>
        <w:rPr>
          <w:i/>
        </w:rPr>
        <w:t>Porodaedalea chrysoloma</w:t>
      </w:r>
      <w:r>
        <w:t xml:space="preserve"> (DD). Den nordligare arten, tajgagranticka, bildar större fruktkroppar och har sin främsta förekomst i norra Sverige, medan den mer tunnköttiga arten, </w:t>
      </w:r>
      <w:r>
        <w:rPr>
          <w:i/>
        </w:rPr>
        <w:t>P. chrysoloma</w:t>
      </w:r>
      <w:r>
        <w:t>, förekommer i sydöstra Sverige och på Gotland (SLU Artdatabanken, 2026; Nitare &amp; Skogsstyrelsen, 2019).</w:t>
      </w:r>
    </w:p>
    <w:p>
      <w:r>
        <w:rPr>
          <w:b/>
        </w:rPr>
        <w:t>Gulnål</w:t>
      </w:r>
      <w:r>
        <w:t xml:space="preserve"> växer mest på murknande lövträdsved och barrträdsved och förekommer i skuggiga miljöer med hög luftfuktighet. I södra Sverige är den en relativt bra signal på biotoper med höga naturvärden och följs ofta av sällsynta arter. Gulnål är typisk art för </w:t>
      </w:r>
      <w:r>
        <w:rPr>
          <w:i/>
        </w:rPr>
        <w:t>9110 Näringsfattig bokskog</w:t>
      </w:r>
      <w:r>
        <w:t xml:space="preserve"> och</w:t>
      </w:r>
      <w:r>
        <w:rPr>
          <w:i/>
        </w:rPr>
        <w:t xml:space="preserve"> 9130 Näringsrik bokskog </w:t>
      </w:r>
      <w:r>
        <w:t>(Nitare &amp; Skogsstyrelsen, 2019; SLU Artdatabanken, 2025).</w:t>
      </w:r>
    </w:p>
    <w:p>
      <w:r>
        <w:rPr>
          <w:b/>
        </w:rPr>
        <w:t>Gulpudrad spiklav</w:t>
      </w:r>
      <w:r>
        <w:t xml:space="preserve"> är en av de viktigaste karaktärsarterna för gamla grova ekar. Den har högt signalvärde och visar på jätteekar som ofta har en rik flora av andra sällsynta lavar. Förekomster på andra substrat än ek visar också på skyddsvärda trädbestånd. Gulpudrad spiklav är typisk art för </w:t>
      </w:r>
      <w:r>
        <w:rPr>
          <w:i/>
        </w:rPr>
        <w:t>9070 Trädklädd betesmark</w:t>
      </w:r>
      <w:r>
        <w:t xml:space="preserve"> och </w:t>
      </w:r>
      <w:r>
        <w:rPr>
          <w:i/>
        </w:rPr>
        <w:t>9160 Näringsrik ekskog</w:t>
      </w:r>
      <w:r>
        <w:t xml:space="preserve"> (Nitare &amp; Skogsstyrelsen, 2019; SLU Artdatabanken, 2025).</w:t>
      </w:r>
    </w:p>
    <w:p>
      <w:r>
        <w:rPr>
          <w:b/>
        </w:rPr>
        <w:t>Luddlav</w:t>
      </w:r>
      <w:r>
        <w:t xml:space="preserve"> signalerar lång skoglig kontinuitet med ett stabilt lokal- och mikroklimat med hög och jämn fuktighet. Luddlav är typisk art för </w:t>
      </w:r>
      <w:r>
        <w:rPr>
          <w:i/>
        </w:rPr>
        <w:t>9010 Taiga,</w:t>
      </w:r>
      <w:r>
        <w:t xml:space="preserve"> </w:t>
      </w:r>
      <w:r>
        <w:rPr>
          <w:i/>
        </w:rPr>
        <w:t xml:space="preserve">9020 Nordlig ädellövskog, 9070 Trädklädd betesmark, 9110 Näringsfattig bokskog, 9180 Ädellövskog i branter </w:t>
      </w:r>
      <w:r>
        <w:t>och</w:t>
      </w:r>
      <w:r>
        <w:rPr>
          <w:i/>
        </w:rPr>
        <w:t xml:space="preserve"> 9190 Näringsfattig ekskog </w:t>
      </w:r>
      <w:r>
        <w:t>(Nitare &amp; Skogsstyrelsen, 2019; SLU Artdatabanken, 2025).</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rPr>
          <w:b/>
        </w:rPr>
        <w:t xml:space="preserve">Spädstarr </w:t>
      </w:r>
      <w:r>
        <w:t xml:space="preserve">är typisk art för </w:t>
      </w:r>
      <w:r>
        <w:rPr>
          <w:i/>
        </w:rPr>
        <w:t xml:space="preserve">9080 Lövsumpskog </w:t>
      </w:r>
      <w:r>
        <w:t>(SLU Artdatabanken, 2025).</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r>
        <w:rPr>
          <w:b/>
        </w:rPr>
        <w:t xml:space="preserve">Ögonpyrola </w:t>
      </w:r>
      <w:r>
        <w:t xml:space="preserve">är normalt en bra signalart som visar på områden med höga naturvärden och stabila förhållanden, särskilt inom näringsfattiga trakter. Växten är mycket känslig för markskador och försvinner snabbt efter slutavverkning. Den hotas också av skogsgödsling och markavvattning. Ögonpyrola är typisk art för </w:t>
      </w:r>
      <w:r>
        <w:rPr>
          <w:i/>
        </w:rPr>
        <w:t>9010 Taiga</w:t>
      </w:r>
      <w:r>
        <w:t xml:space="preserve"> och</w:t>
      </w:r>
      <w:r>
        <w:rPr>
          <w:i/>
        </w:rPr>
        <w:t xml:space="preserve"> 9070 Trädklädd betesmark</w:t>
      </w:r>
      <w:r>
        <w:t xml:space="preserve"> (Nitare &amp; Skogsstyrelsen, 2019; SLU Artdatabanken, 2024).</w:t>
      </w:r>
    </w:p>
    <w:p>
      <w:pPr>
        <w:pStyle w:val="Heading1"/>
      </w:pPr>
      <w:r>
        <w:t>Fridlysta arter</w:t>
      </w:r>
    </w:p>
    <w:p>
      <w:r>
        <w:t>Följande fridlysta arter har sina livsmiljöer och växtplatser i den avverkningsanmälda skogen: knärot (VU, §8), talltita (NT, §4), spindelblomster (S, §8), fläcknycklar (§8)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1.27 ha med buffertzonerna och får av detta skäl inte avverkas.</w:t>
      </w:r>
    </w:p>
    <w:p>
      <w:pPr>
        <w:pStyle w:val="Caption"/>
      </w:pPr>
      <w:r>
        <w:drawing>
          <wp:inline xmlns:a="http://schemas.openxmlformats.org/drawingml/2006/main" xmlns:pic="http://schemas.openxmlformats.org/drawingml/2006/picture">
            <wp:extent cx="5486400" cy="10976229"/>
            <wp:docPr id="2" name="Picture 2"/>
            <wp:cNvGraphicFramePr>
              <a:graphicFrameLocks noChangeAspect="1"/>
            </wp:cNvGraphicFramePr>
            <a:graphic>
              <a:graphicData uri="http://schemas.openxmlformats.org/drawingml/2006/picture">
                <pic:pic>
                  <pic:nvPicPr>
                    <pic:cNvPr id="0" name="A 33362-2024 karta knärot.png"/>
                    <pic:cNvPicPr/>
                  </pic:nvPicPr>
                  <pic:blipFill>
                    <a:blip r:embed="rId17"/>
                    <a:stretch>
                      <a:fillRect/>
                    </a:stretch>
                  </pic:blipFill>
                  <pic:spPr>
                    <a:xfrm>
                      <a:off x="0" y="0"/>
                      <a:ext cx="5486400" cy="1097622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7113002, E 699910 i SWEREF 99 TM.</w:t>
      </w:r>
    </w:p>
    <w:p>
      <w:pPr>
        <w:pStyle w:val="Caption"/>
      </w:pP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21 naturvårdsarter varav 10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2026-05-05</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