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44790-2023 i Bjurholms kommun</w:t>
      </w:r>
    </w:p>
    <w:p>
      <w:r>
        <w:t>Denna tillsynsbegäran behandlar höga naturvärden i avverkningsanmälan A 44790-2023 i Bjurholms kommun som inkom 2023-09-21 och omfattar 21,7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44790-2023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7099312, E 670307 i SWEREF 99 TM.</w:t>
      </w:r>
    </w:p>
    <w:p>
      <w:r>
        <w:t>I och inom 5 meter från avverkningsanmälan finns fynd av 16 naturvårdsarter, varav 10 är rödlistade, 3 är fridlysta, 12 är typiska (T) och 4 är signalarter (S): fläckporing (VU, T), garnlav (VU, T), blanksvart spiklav (NT), blågrå svartspik (NT), dvärgbägarlav (NT, T), kolflarnlav (NT, T), mörk kolflarnlav (NT), nordtagging (NT), talltagel (NT, T), vedskivlav (NT, T), luddlav (S, T), nästlav (S, T), spindelblomster (S, T, §8),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dvärgbägarlav (NT, T), kolflarnlav (NT, T), talltagel (NT, T), vedskivlav (NT, T), luddlav (S, T), nästlav (S, T), spindelblomster (S, T, §8),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