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25794-2024 i Bjurholms kommun</w:t>
      </w:r>
    </w:p>
    <w:p>
      <w:r>
        <w:t>Detta klagomål behandlar höga naturvärden i avverkningsanmälan A 25794-2024 i Bjurholms kommun som inkom 2024-06-24 och omfattar 9,0 ha.</w:t>
      </w:r>
    </w:p>
    <w:p>
      <w:pPr>
        <w:pStyle w:val="Caption"/>
      </w:pPr>
      <w:r>
        <w:drawing>
          <wp:inline xmlns:a="http://schemas.openxmlformats.org/drawingml/2006/main" xmlns:pic="http://schemas.openxmlformats.org/drawingml/2006/picture">
            <wp:extent cx="4384466" cy="5724000"/>
            <wp:docPr id="1" name="Picture 1"/>
            <wp:cNvGraphicFramePr>
              <a:graphicFrameLocks noChangeAspect="1"/>
            </wp:cNvGraphicFramePr>
            <a:graphic>
              <a:graphicData uri="http://schemas.openxmlformats.org/drawingml/2006/picture">
                <pic:pic>
                  <pic:nvPicPr>
                    <pic:cNvPr id="0" name="A 25794-2024 karta.png"/>
                    <pic:cNvPicPr/>
                  </pic:nvPicPr>
                  <pic:blipFill>
                    <a:blip r:embed="rId16"/>
                    <a:stretch>
                      <a:fillRect/>
                    </a:stretch>
                  </pic:blipFill>
                  <pic:spPr>
                    <a:xfrm>
                      <a:off x="0" y="0"/>
                      <a:ext cx="4384466"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7100323, E 670033 i SWEREF 99 TM.</w:t>
      </w:r>
    </w:p>
    <w:p>
      <w:r>
        <w:t>I och inom 16 meter från avverkningsanmälan finns fynd av 15 naturvårdsarter, varav 14 är rödlistade, 1 är fridlyst, 8 är typiska (T) och 1 är signalart (S): garnlav (VU, T), Lecidea subhumida (VU), smalfotad taggsvamp (VU), blanksvart spiklav (NT), blågrå svartspik (NT), dropptaggsvamp (NT, T), dvärgbägarlav (NT, T), kolflarnlav (NT, T), mörk kolflarnlav (NT), talltagel (NT, T), tretåig hackspett (NT, T, §4), vaddporing (NT), vedflamlav (NT), vedskivlav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