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65926"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659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74 naturvårdsarter, varav 36 är rödlistade, 17 är fridlysta, 44 är typiska (T) och 25 är signalarter (S): doftticka (VU, T, §8), garnlav (VU, T), gräddticka (VU), gränsticka (VU, T), knärot (VU, T, §8), lappticka (VU, T), ulltickeporing (VU), barrpraktbagge (NT), Dropephylla clavigera (NT), dropptaggsvamp (NT, T), gammelgransskål (NT, 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stekelbock (S, T), stor aspticka (S, T), stuplav (S, T), större aspvedbock (S), thomsons trägnagare (S), trådticka (S, T), vedticka (S, T), vågbandad barkbock (S), hultbräken (T), järpe (T, §4), klotstarr (T), spillkråka (T, §4), tallbit (T, §4), tofsmes (T, §4), kungsfågel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74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