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17804-2026 i Vindelns kommun</w:t>
      </w:r>
    </w:p>
    <w:p>
      <w:r>
        <w:t>Detta klagomål behandlar höga naturvärden i avverkningsanmälan A 17804-2026 i Vindelns kommun som inkom 2026-04-10 och omfattar 5,7 ha.</w:t>
      </w:r>
    </w:p>
    <w:p>
      <w:pPr>
        <w:pStyle w:val="Caption"/>
      </w:pPr>
      <w:r>
        <w:drawing>
          <wp:inline xmlns:a="http://schemas.openxmlformats.org/drawingml/2006/main" xmlns:pic="http://schemas.openxmlformats.org/drawingml/2006/picture">
            <wp:extent cx="5486400" cy="3859334"/>
            <wp:docPr id="1" name="Picture 1"/>
            <wp:cNvGraphicFramePr>
              <a:graphicFrameLocks noChangeAspect="1"/>
            </wp:cNvGraphicFramePr>
            <a:graphic>
              <a:graphicData uri="http://schemas.openxmlformats.org/drawingml/2006/picture">
                <pic:pic>
                  <pic:nvPicPr>
                    <pic:cNvPr id="0" name="A 17804-2026 karta.png"/>
                    <pic:cNvPicPr/>
                  </pic:nvPicPr>
                  <pic:blipFill>
                    <a:blip r:embed="rId16"/>
                    <a:stretch>
                      <a:fillRect/>
                    </a:stretch>
                  </pic:blipFill>
                  <pic:spPr>
                    <a:xfrm>
                      <a:off x="0" y="0"/>
                      <a:ext cx="5486400" cy="385933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7165538, E 703121 i SWEREF 99 TM.</w:t>
      </w:r>
    </w:p>
    <w:p>
      <w:r>
        <w:t>I och inom 21 meter från avverkningsanmälan finns fynd av 12 naturvårdsarter, varav 11 är rödlistade, 1 är fridlyst, 9 är typiska (T) och 1 är signalart (S): doftticka (VU, T, §8), garnlav (VU, T), skrovlig taggsvamp (VU), blanksvart spiklav (NT), blå taggsvamp (NT, T), dropptaggsvamp (NT, T), dvärgbägarlav (NT, T), gammelgransskål (NT, T), kolflarnlav (NT, T), mörk kolflarnlav (NT), vedskivlav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