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7705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770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72 naturvårdsarter, varav 36 är rödlistade, 17 är fridlysta, 42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järpe (T, §4), spillkråka (T, §4), tallbit (T, §4), tofsmes (T, §4), kungsfågel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19 fyndplatser för knärot registrerade på Artportalen. Figur 2 visar gränserna för buffertzoner på 50 m, som behöver lämnas kring fyndplatserna för att knärotslokalerna inte ska försvinna vid en avverkning. Av det samrådsanmälda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