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7705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770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72 naturvårdsarter, varav 36 är rödlistade, 17 är fridlysta, 42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järpe (T, §4), spillkråka (T, §4), tallbit (T, §4), tofsmes (T, §4), kungsfågel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19 fyndplatser för knärot registrerade på Artportalen. Figur 2 visar gränserna för buffertzoner på 50 m, som behöver lämnas kring fyndplatserna för att knärotslokalerna inte ska försvinna vid en avverkning. Av det samrådsanmälda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stekelbock (S, T), stor aspticka (S, T), stuplav (S, T), trådticka (S, T), vedticka (S, T), järpe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