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419-2026 i Vindelns kommun</w:t>
      </w:r>
    </w:p>
    <w:p>
      <w:r>
        <w:t>Detta klagomål behandlar höga naturvärden i samrådsanmälan S 419-2026 i Vindelns kommun som inkom 2026-02-17 och omfattar 403,8 ha.</w:t>
      </w:r>
    </w:p>
    <w:p>
      <w:pPr>
        <w:pStyle w:val="Caption"/>
      </w:pPr>
      <w:r>
        <w:drawing>
          <wp:inline xmlns:a="http://schemas.openxmlformats.org/drawingml/2006/main" xmlns:pic="http://schemas.openxmlformats.org/drawingml/2006/picture">
            <wp:extent cx="4830977" cy="5724000"/>
            <wp:docPr id="1" name="Picture 1"/>
            <wp:cNvGraphicFramePr>
              <a:graphicFrameLocks noChangeAspect="1"/>
            </wp:cNvGraphicFramePr>
            <a:graphic>
              <a:graphicData uri="http://schemas.openxmlformats.org/drawingml/2006/picture">
                <pic:pic>
                  <pic:nvPicPr>
                    <pic:cNvPr id="0" name="S 419-2026 karta.png"/>
                    <pic:cNvPicPr/>
                  </pic:nvPicPr>
                  <pic:blipFill>
                    <a:blip r:embed="rId16"/>
                    <a:stretch>
                      <a:fillRect/>
                    </a:stretch>
                  </pic:blipFill>
                  <pic:spPr>
                    <a:xfrm>
                      <a:off x="0" y="0"/>
                      <a:ext cx="4830977"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7147076, E 724836 i SWEREF 99 TM.</w:t>
      </w:r>
    </w:p>
    <w:p>
      <w:r>
        <w:t>I och inom 24 meter från samrådsanmälan finns fynd av 7 naturvårdsarter, varav 3 är rödlistade, 2 är fridlysta, 5 är typiska (T) och 2 är signalarter (S): garnlav (VU, T), älvstarr (NT, T), öring (NT), källpraktmossa (S, T), trådticka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8533097"/>
            <wp:docPr id="2" name="Picture 2"/>
            <wp:cNvGraphicFramePr>
              <a:graphicFrameLocks noChangeAspect="1"/>
            </wp:cNvGraphicFramePr>
            <a:graphic>
              <a:graphicData uri="http://schemas.openxmlformats.org/drawingml/2006/picture">
                <pic:pic>
                  <pic:nvPicPr>
                    <pic:cNvPr id="0" name="S 419-2026 karta knärot.png"/>
                    <pic:cNvPicPr/>
                  </pic:nvPicPr>
                  <pic:blipFill>
                    <a:blip r:embed="rId17"/>
                    <a:stretch>
                      <a:fillRect/>
                    </a:stretch>
                  </pic:blipFill>
                  <pic:spPr>
                    <a:xfrm>
                      <a:off x="0" y="0"/>
                      <a:ext cx="5486400" cy="853309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7147076, E 724836 i SWEREF 99 TM.</w:t>
      </w:r>
    </w:p>
    <w:p>
      <w:r>
        <w:rPr>
          <w:b/>
        </w:rPr>
        <w:t xml:space="preserve">Älvstarr (NT) </w:t>
      </w:r>
      <w:r>
        <w:t xml:space="preserve">förekommer sällsynt från Västerbotten och norrut, dock ej i fjällen. Den växer på bäckstränder, källdråg och i gransumpskog och kräver rinnande vatten med god syresättning. Arten tål ej skogliga ingrepp, då den växer på mark som är mycket känslig. Källdråg, sumpskogar och bäckstränder bör undantas från avverkning. Körning med skogsmaskiner på dessa lokaler bör undvikas. Älvstarrförekomsterna bör karteras och rikliga förekomster skyddas. Älvstarr är typisk art för </w:t>
      </w:r>
      <w:r>
        <w:rPr>
          <w:i/>
        </w:rPr>
        <w:t>9750 Svämlövskog</w:t>
      </w:r>
      <w:r>
        <w:t xml:space="preserve"> (SLU Artdatabanken, 2024).</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