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och inom 10 meter från samrådsanmälan finns fynd av 14 naturvårdsarter, varav 9 är rödlistade, 4 är fridlysta, 11 är typiska (T) och 3 är signalarter (S): garnlav (VU, T), knärot (VU, T, §8), kolflarnlav (NT, T), lunglav (NT, T), reliktbock (NT, T), tretåig hackspett (NT, T, §4), vedtrappmossa (NT, T), violettgrå tagellav (NT, T), äggvaxskivling (NT), nästlav (S, T), vedticka (S, T), vågbandad barkbock (S),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reliktbock (NT, T), tretåig hackspett (NT, T, §4), vedtrappmossa (NT, T), violettgrå tagellav (NT, T), nästlav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