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52101-2021 i Vindelns kommun</w:t>
      </w:r>
    </w:p>
    <w:p>
      <w:r>
        <w:t>Detta klagomål behandlar höga naturvärden i avverkningsanmälan A 52101-2021 i Vindelns kommun som inkom 2021-09-24 och omfattar 12,9 ha.</w:t>
      </w:r>
    </w:p>
    <w:p>
      <w:pPr>
        <w:pStyle w:val="Caption"/>
      </w:pPr>
      <w:r>
        <w:drawing>
          <wp:inline xmlns:a="http://schemas.openxmlformats.org/drawingml/2006/main" xmlns:pic="http://schemas.openxmlformats.org/drawingml/2006/picture">
            <wp:extent cx="5486400" cy="4057296"/>
            <wp:docPr id="1" name="Picture 1"/>
            <wp:cNvGraphicFramePr>
              <a:graphicFrameLocks noChangeAspect="1"/>
            </wp:cNvGraphicFramePr>
            <a:graphic>
              <a:graphicData uri="http://schemas.openxmlformats.org/drawingml/2006/picture">
                <pic:pic>
                  <pic:nvPicPr>
                    <pic:cNvPr id="0" name="A 52101-2021 karta.png"/>
                    <pic:cNvPicPr/>
                  </pic:nvPicPr>
                  <pic:blipFill>
                    <a:blip r:embed="rId16"/>
                    <a:stretch>
                      <a:fillRect/>
                    </a:stretch>
                  </pic:blipFill>
                  <pic:spPr>
                    <a:xfrm>
                      <a:off x="0" y="0"/>
                      <a:ext cx="5486400" cy="4057296"/>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har ett svart streck som visar fyndplatsens exakta position. Kartans mittpunktskoordinat är N 7141058, E 716717 i SWEREF 99 TM.</w:t>
      </w:r>
    </w:p>
    <w:p>
      <w:r>
        <w:t>I och inom 9 meter från avverkningsanmälan finns fynd av 8 naturvårdsarter, varav 8 är rödlistade och 5 är typiska (T): goliatmusseron (VU, T), skrovlig taggsvamp (VU), blå taggsvamp (NT, T), dropptaggsvamp (NT, T), mjölsvärting (NT), orange taggsvamp (NT, T), talltagel (NT, T) och vaddporing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Mjölsvärting (NT)</w:t>
      </w:r>
      <w:r>
        <w:t xml:space="preserve"> växer i luckig barrskog, huvudsakligen på tallhed och i äldre skog. Mager, äldre tallskog och barrblandskog med lång trädkontinuitet bör undantas från trakthyggesbruk. Mjölsvärtingens lokaler är ofta nyckelbiotoper och bör då sparas i sin helhet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