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1145-2026 i Vindelns kommun</w:t>
      </w:r>
    </w:p>
    <w:p>
      <w:r>
        <w:t>Denna tillsynsbegäran behandlar höga naturvärden i samrådsanmälan S 1145-2026 i Vindelns kommun som inkom 2026-04-23 och omfattar 157,4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S 1145-2026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7159693, E 721890 i SWEREF 99 TM.</w:t>
      </w:r>
    </w:p>
    <w:p>
      <w:r>
        <w:t>I och inom 25 meter från samrådsanmälan finns fynd av 11 naturvårdsarter, varav 6 är rödlistade, 3 är fridlysta, 9 är typiska (T) och 4 är signalarter (S): knärot (VU, T, §8), dropptaggsvamp (NT, T), gammelgransskål (NT, T), kandelabersvamp (NT, T), tretåig hackspett (NT, T, §4), vitgrynig nållav (NT), luddlav (S, T), mindre märgborre (S, T), stuplav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8091953"/>
            <wp:docPr id="2" name="Picture 2"/>
            <wp:cNvGraphicFramePr>
              <a:graphicFrameLocks noChangeAspect="1"/>
            </wp:cNvGraphicFramePr>
            <a:graphic>
              <a:graphicData uri="http://schemas.openxmlformats.org/drawingml/2006/picture">
                <pic:pic>
                  <pic:nvPicPr>
                    <pic:cNvPr id="0" name="S 1145-2026 karta knärot.png"/>
                    <pic:cNvPicPr/>
                  </pic:nvPicPr>
                  <pic:blipFill>
                    <a:blip r:embed="rId17"/>
                    <a:stretch>
                      <a:fillRect/>
                    </a:stretch>
                  </pic:blipFill>
                  <pic:spPr>
                    <a:xfrm>
                      <a:off x="0" y="0"/>
                      <a:ext cx="5486400" cy="809195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7159693, E 721890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gammelgransskål (NT, T), kandelabersvamp (NT, T), tretåig hackspett (NT, T, §4), luddlav (S, T), mindre märgborre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