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28751-2026 i Vindelns kommun</w:t>
      </w:r>
    </w:p>
    <w:p>
      <w:r>
        <w:t>Denna tillsynsbegäran behandlar höga naturvärden i avverkningsanmälan A 28751-2026 i Vindelns kommun som inkom 2026-06-25 och omfattar 13,4 ha.</w:t>
      </w:r>
    </w:p>
    <w:p>
      <w:pPr>
        <w:pStyle w:val="Caption"/>
      </w:pPr>
      <w:r>
        <w:drawing>
          <wp:inline xmlns:a="http://schemas.openxmlformats.org/drawingml/2006/main" xmlns:pic="http://schemas.openxmlformats.org/drawingml/2006/picture">
            <wp:extent cx="5486400" cy="5155126"/>
            <wp:docPr id="1" name="Picture 1"/>
            <wp:cNvGraphicFramePr>
              <a:graphicFrameLocks noChangeAspect="1"/>
            </wp:cNvGraphicFramePr>
            <a:graphic>
              <a:graphicData uri="http://schemas.openxmlformats.org/drawingml/2006/picture">
                <pic:pic>
                  <pic:nvPicPr>
                    <pic:cNvPr id="0" name="A 28751-2026 karta.png"/>
                    <pic:cNvPicPr/>
                  </pic:nvPicPr>
                  <pic:blipFill>
                    <a:blip r:embed="rId16"/>
                    <a:stretch>
                      <a:fillRect/>
                    </a:stretch>
                  </pic:blipFill>
                  <pic:spPr>
                    <a:xfrm>
                      <a:off x="0" y="0"/>
                      <a:ext cx="5486400" cy="51551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7156086, E 730842 i SWEREF 99 TM.</w:t>
      </w:r>
    </w:p>
    <w:p>
      <w:r>
        <w:t>I avverkningsanmälan finns fynd av 12 naturvårdsarter, varav 7 är rödlistade, 3 är fridlysta, 12 är typiska (T) och 3 är signalarter (S): garnlav (VU, T), gränsticka (VU, T), knärot (VU, T, §8), gammelgransskål (NT, T), lunglav (NT, T), tretåig hackspett (NT, T, §4), ullticka (NT, T), luddlav (S, T), spindelblomster (S, T, §8), vedticka (S, T), hultbräken (T) och kransmossa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4.49 ha med buffertzonerna och får av detta skäl inte avverkas.</w:t>
      </w:r>
    </w:p>
    <w:p>
      <w:pPr>
        <w:pStyle w:val="Caption"/>
      </w:pPr>
      <w:r>
        <w:drawing>
          <wp:inline xmlns:a="http://schemas.openxmlformats.org/drawingml/2006/main" xmlns:pic="http://schemas.openxmlformats.org/drawingml/2006/picture">
            <wp:extent cx="5486400" cy="6825748"/>
            <wp:docPr id="2" name="Picture 2"/>
            <wp:cNvGraphicFramePr>
              <a:graphicFrameLocks noChangeAspect="1"/>
            </wp:cNvGraphicFramePr>
            <a:graphic>
              <a:graphicData uri="http://schemas.openxmlformats.org/drawingml/2006/picture">
                <pic:pic>
                  <pic:nvPicPr>
                    <pic:cNvPr id="0" name="A 28751-2026 karta knärot.png"/>
                    <pic:cNvPicPr/>
                  </pic:nvPicPr>
                  <pic:blipFill>
                    <a:blip r:embed="rId17"/>
                    <a:stretch>
                      <a:fillRect/>
                    </a:stretch>
                  </pic:blipFill>
                  <pic:spPr>
                    <a:xfrm>
                      <a:off x="0" y="0"/>
                      <a:ext cx="5486400" cy="68257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7156086, E 730842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gammelgransskål (NT, T), lunglav (NT, T), tretåig hackspett (NT, T, §4), ullticka (NT, T), luddlav (S, T), spindelblomster (S, T, §8), vedticka (S, T), hultbräken (T) och kransmossa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